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6b3ec25769c64ca5a7099a2dcb8d1969_10">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2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88" w:before="0" w:after="2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For the quarterly period ended May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For the transition period from __________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 001-08504</w:t>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w:t>
      </w:r>
    </w:p>
    <w:p>
      <w:pPr>
        <w:pStyle w:val="TextBody"/>
        <w:bidi w:val="0"/>
        <w:spacing w:before="0" w:after="400"/>
        <w:jc w:val="center"/>
        <w:rPr/>
      </w:pPr>
      <w:r>
        <w:rPr/>
        <w:drawing>
          <wp:inline distT="0" distB="0" distL="0" distR="0">
            <wp:extent cx="1981200" cy="6000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81200" cy="600075"/>
                    </a:xfrm>
                    <a:prstGeom prst="rect">
                      <a:avLst/>
                    </a:prstGeom>
                  </pic:spPr>
                </pic:pic>
              </a:graphicData>
            </a:graphic>
          </wp:inline>
        </w:drawing>
      </w:r>
      <w:bookmarkStart w:id="0" w:name="i-1"/>
      <w:bookmarkEnd w:id="0"/>
    </w:p>
    <w:p>
      <w:pPr>
        <w:pStyle w:val="TextBody"/>
        <w:bidi w:val="0"/>
        <w:spacing w:lineRule="auto" w:line="288" w:before="0" w:after="60"/>
        <w:jc w:val="center"/>
        <w:rPr>
          <w:rFonts w:ascii="Times New Roman;serif" w:hAnsi="Times New Roman;serif"/>
          <w:b/>
          <w:color w:val="000000"/>
          <w:sz w:val="30"/>
        </w:rPr>
      </w:pPr>
      <w:r>
        <w:rPr>
          <w:rFonts w:ascii="Times New Roman;serif" w:hAnsi="Times New Roman;serif"/>
          <w:b/>
          <w:color w:val="000000"/>
          <w:sz w:val="30"/>
        </w:rPr>
        <w:t>UNIFIRST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6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w:t>
      </w:r>
    </w:p>
    <w:tbl>
      <w:tblPr>
        <w:tblW w:w="4529" w:type="dxa"/>
        <w:jc w:val="center"/>
        <w:tblInd w:w="0" w:type="dxa"/>
        <w:tblLayout w:type="fixed"/>
        <w:tblCellMar>
          <w:top w:w="28" w:type="dxa"/>
          <w:left w:w="28" w:type="dxa"/>
          <w:bottom w:w="28" w:type="dxa"/>
          <w:right w:w="28" w:type="dxa"/>
        </w:tblCellMar>
      </w:tblPr>
      <w:tblGrid>
        <w:gridCol w:w="1102"/>
        <w:gridCol w:w="970"/>
        <w:gridCol w:w="973"/>
        <w:gridCol w:w="433"/>
        <w:gridCol w:w="433"/>
        <w:gridCol w:w="618"/>
      </w:tblGrid>
      <w:tr>
        <w:trPr/>
        <w:tc>
          <w:tcPr>
            <w:tcW w:w="110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Massachusetts</w:t>
            </w:r>
          </w:p>
        </w:tc>
        <w:tc>
          <w:tcPr>
            <w:tcW w:w="1484"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04-2103460</w:t>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r>
        <w:trPr/>
        <w:tc>
          <w:tcPr>
            <w:tcW w:w="3045"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68 Jonspin Road, Wilmington, MA</w:t>
            </w:r>
          </w:p>
        </w:tc>
        <w:tc>
          <w:tcPr>
            <w:tcW w:w="1484"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01887</w:t>
            </w:r>
          </w:p>
        </w:tc>
      </w:tr>
      <w:tr>
        <w:trPr/>
        <w:tc>
          <w:tcPr>
            <w:tcW w:w="304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148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(978) 658-8888</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w:t>
      </w:r>
    </w:p>
    <w:p>
      <w:pPr>
        <w:pStyle w:val="TextBody"/>
        <w:bidi w:val="0"/>
        <w:spacing w:lineRule="auto" w:line="288" w:before="0" w:after="4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947" w:type="dxa"/>
        <w:jc w:val="left"/>
        <w:tblInd w:w="0" w:type="dxa"/>
        <w:tblLayout w:type="fixed"/>
        <w:tblCellMar>
          <w:top w:w="28" w:type="dxa"/>
          <w:left w:w="28" w:type="dxa"/>
          <w:bottom w:w="28" w:type="dxa"/>
          <w:right w:w="28" w:type="dxa"/>
        </w:tblCellMar>
      </w:tblPr>
      <w:tblGrid>
        <w:gridCol w:w="1122"/>
        <w:gridCol w:w="988"/>
        <w:gridCol w:w="994"/>
        <w:gridCol w:w="454"/>
        <w:gridCol w:w="454"/>
        <w:gridCol w:w="456"/>
        <w:gridCol w:w="1019"/>
        <w:gridCol w:w="1019"/>
        <w:gridCol w:w="1441"/>
      </w:tblGrid>
      <w:tr>
        <w:trPr/>
        <w:tc>
          <w:tcPr>
            <w:tcW w:w="1122"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13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Trading Symbol</w:t>
            </w:r>
          </w:p>
        </w:tc>
        <w:tc>
          <w:tcPr>
            <w:tcW w:w="347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310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8"/>
              </w:rPr>
            </w:pPr>
            <w:r>
              <w:rPr>
                <w:rFonts w:ascii="Times New Roman;serif" w:hAnsi="Times New Roman;serif"/>
                <w:b w:val="false"/>
                <w:color w:val="000000"/>
                <w:sz w:val="18"/>
              </w:rPr>
              <w:t>Common Stock, $0.10 par value per share</w:t>
            </w:r>
          </w:p>
        </w:tc>
        <w:tc>
          <w:tcPr>
            <w:tcW w:w="136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8"/>
              </w:rPr>
            </w:pPr>
            <w:r>
              <w:rPr>
                <w:rFonts w:ascii="Times New Roman;serif" w:hAnsi="Times New Roman;serif"/>
                <w:b w:val="false"/>
                <w:color w:val="000000"/>
                <w:sz w:val="18"/>
              </w:rPr>
              <w:t>UNF</w:t>
            </w:r>
          </w:p>
        </w:tc>
        <w:tc>
          <w:tcPr>
            <w:tcW w:w="347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73" w:before="0" w:after="0"/>
              <w:jc w:val="center"/>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bl>
    <w:p>
      <w:pPr>
        <w:pStyle w:val="TextBody"/>
        <w:bidi w:val="0"/>
        <w:spacing w:lineRule="auto" w:line="288" w:before="0" w:after="80"/>
        <w:jc w:val="left"/>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w:t>
      </w:r>
      <w:r>
        <w:rPr>
          <w:rFonts w:ascii="Times New Roman;serif" w:hAnsi="Times New Roman;serif"/>
          <w:b w:val="false"/>
          <w:color w:val="000000"/>
          <w:sz w:val="20"/>
        </w:rPr>
        <w:t>No  </w:t>
      </w:r>
      <w:r>
        <w:rPr>
          <w:rFonts w:ascii="Wingdings;sans-serif" w:hAnsi="Wingdings;sans-serif"/>
          <w:b w:val="false"/>
          <w:color w:val="000000"/>
          <w:sz w:val="20"/>
        </w:rPr>
        <w:t>o</w:t>
      </w:r>
    </w:p>
    <w:p>
      <w:pPr>
        <w:pStyle w:val="TextBody"/>
        <w:bidi w:val="0"/>
        <w:spacing w:lineRule="auto" w:line="288" w:before="0" w:after="80"/>
        <w:jc w:val="left"/>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w:t>
      </w:r>
      <w:r>
        <w:rPr>
          <w:rFonts w:ascii="Times New Roman;serif" w:hAnsi="Times New Roman;serif"/>
          <w:b w:val="false"/>
          <w:color w:val="000000"/>
          <w:sz w:val="20"/>
        </w:rPr>
        <w:t>No  </w:t>
      </w:r>
      <w:r>
        <w:rPr>
          <w:rFonts w:ascii="Wingdings;sans-serif" w:hAnsi="Wingdings;sans-serif"/>
          <w:b w:val="false"/>
          <w:color w:val="000000"/>
          <w:sz w:val="20"/>
        </w:rPr>
        <w:t>o</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528" w:type="dxa"/>
        <w:jc w:val="left"/>
        <w:tblInd w:w="0" w:type="dxa"/>
        <w:tblLayout w:type="fixed"/>
        <w:tblCellMar>
          <w:top w:w="28" w:type="dxa"/>
          <w:left w:w="28" w:type="dxa"/>
          <w:bottom w:w="28" w:type="dxa"/>
          <w:right w:w="28" w:type="dxa"/>
        </w:tblCellMar>
      </w:tblPr>
      <w:tblGrid>
        <w:gridCol w:w="869"/>
        <w:gridCol w:w="764"/>
        <w:gridCol w:w="766"/>
        <w:gridCol w:w="109"/>
        <w:gridCol w:w="109"/>
        <w:gridCol w:w="109"/>
        <w:gridCol w:w="809"/>
        <w:gridCol w:w="809"/>
        <w:gridCol w:w="812"/>
        <w:gridCol w:w="109"/>
        <w:gridCol w:w="109"/>
        <w:gridCol w:w="154"/>
      </w:tblGrid>
      <w:tr>
        <w:trPr/>
        <w:tc>
          <w:tcPr>
            <w:tcW w:w="86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243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243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80"/>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0" w:after="80"/>
        <w:jc w:val="left"/>
        <w:rPr/>
      </w:pPr>
      <w:r>
        <w:rPr>
          <w:rFonts w:ascii="Times New Roman;serif" w:hAnsi="Times New Roman;serif"/>
          <w:b w:val="false"/>
          <w:color w:val="000000"/>
          <w:sz w:val="20"/>
        </w:rPr>
        <w:t>Indicate by check mark whether the registrant is a shell company (as defined in Rule 12b-2 of the Exchange Act).    Yes  </w:t>
      </w:r>
      <w:r>
        <w:rPr>
          <w:rFonts w:ascii="Wingdings;sans-serif" w:hAnsi="Wingdings;sans-serif"/>
          <w:b w:val="false"/>
          <w:color w:val="000000"/>
          <w:sz w:val="20"/>
        </w:rPr>
        <w:t>o</w:t>
      </w:r>
      <w:r>
        <w:rPr>
          <w:color w:val="000000"/>
        </w:rPr>
        <w:t>    </w:t>
      </w:r>
      <w:r>
        <w:rPr>
          <w:rFonts w:ascii="Times New Roman;serif" w:hAnsi="Times New Roman;serif"/>
          <w:b w:val="false"/>
          <w:color w:val="000000"/>
          <w:sz w:val="20"/>
        </w:rPr>
        <w:t>No  </w:t>
      </w:r>
      <w:r>
        <w:rPr>
          <w:rFonts w:ascii="Wingdings;sans-serif" w:hAnsi="Wingdings;sans-serif"/>
          <w:b w:val="false"/>
          <w:color w:val="000000"/>
          <w:sz w:val="20"/>
        </w:rPr>
        <w:t>x</w:t>
      </w:r>
    </w:p>
    <w:p>
      <w:pPr>
        <w:pStyle w:val="TextBody"/>
        <w:bidi w:val="0"/>
        <w:spacing w:lineRule="auto" w:line="288" w:before="0" w:after="80"/>
        <w:jc w:val="left"/>
        <w:rPr>
          <w:rFonts w:ascii="Times New Roman;serif" w:hAnsi="Times New Roman;serif"/>
          <w:b w:val="false"/>
          <w:color w:val="000000"/>
          <w:sz w:val="20"/>
        </w:rPr>
      </w:pPr>
      <w:r>
        <w:rPr>
          <w:rFonts w:ascii="Times New Roman;serif" w:hAnsi="Times New Roman;serif"/>
          <w:b w:val="false"/>
          <w:color w:val="000000"/>
          <w:sz w:val="20"/>
        </w:rPr>
        <w:t>Indicate the number of shares outstanding of each of the issuer’s classes of common stock, as of the latest practicable date.</w:t>
      </w:r>
    </w:p>
    <w:p>
      <w:pPr>
        <w:pStyle w:val="TextBody"/>
        <w:bidi w:val="0"/>
        <w:spacing w:lineRule="auto" w:line="288" w:before="0" w:after="200"/>
        <w:jc w:val="left"/>
        <w:rPr/>
      </w:pPr>
      <w:r>
        <w:rPr>
          <w:rFonts w:ascii="Times New Roman;serif" w:hAnsi="Times New Roman;serif"/>
          <w:b w:val="false"/>
          <w:color w:val="000000"/>
          <w:sz w:val="20"/>
        </w:rPr>
        <w:t>The number of outstanding shares of UniFirst Corporation Common Stock and Class B Common Stock as of July 1, 2026</w:t>
      </w:r>
      <w:r>
        <w:rPr>
          <w:color w:val="000000"/>
        </w:rPr>
        <w:t xml:space="preserve"> </w:t>
      </w:r>
      <w:r>
        <w:rPr>
          <w:rFonts w:ascii="Times New Roman;serif" w:hAnsi="Times New Roman;serif"/>
          <w:b w:val="false"/>
          <w:color w:val="000000"/>
          <w:sz w:val="20"/>
        </w:rPr>
        <w:t>were 14,532,908 and 3,551,265, respectively.</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6b3ec25769c64ca5a7099a2dcb8d1969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UniFirst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Quarterly Report on Form 10-Q</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For the Thirteen and Thirty-Nine Weeks Ended May 30, 2026</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564"/>
        <w:gridCol w:w="3128"/>
        <w:gridCol w:w="3140"/>
        <w:gridCol w:w="109"/>
        <w:gridCol w:w="109"/>
        <w:gridCol w:w="155"/>
      </w:tblGrid>
      <w:tr>
        <w:trPr/>
        <w:tc>
          <w:tcPr>
            <w:tcW w:w="3564" w:type="dxa"/>
            <w:tcBorders/>
            <w:vAlign w:val="center"/>
          </w:tcPr>
          <w:p>
            <w:pPr>
              <w:pStyle w:val="TableContents"/>
              <w:bidi w:val="0"/>
              <w:spacing w:before="0" w:after="283"/>
              <w:jc w:val="left"/>
              <w:rPr>
                <w:sz w:val="4"/>
                <w:szCs w:val="4"/>
              </w:rPr>
            </w:pPr>
            <w:r>
              <w:rPr>
                <w:sz w:val="4"/>
                <w:szCs w:val="4"/>
              </w:rPr>
            </w:r>
          </w:p>
        </w:tc>
        <w:tc>
          <w:tcPr>
            <w:tcW w:w="3128" w:type="dxa"/>
            <w:tcBorders/>
            <w:vAlign w:val="center"/>
          </w:tcPr>
          <w:p>
            <w:pPr>
              <w:pStyle w:val="TableContents"/>
              <w:bidi w:val="0"/>
              <w:spacing w:before="0" w:after="283"/>
              <w:jc w:val="left"/>
              <w:rPr>
                <w:sz w:val="4"/>
                <w:szCs w:val="4"/>
              </w:rPr>
            </w:pPr>
            <w:r>
              <w:rPr>
                <w:sz w:val="4"/>
                <w:szCs w:val="4"/>
              </w:rPr>
            </w:r>
          </w:p>
        </w:tc>
        <w:tc>
          <w:tcPr>
            <w:tcW w:w="3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b3ec25769c64ca5a7099a2dcb8d1969_13">
              <w:r>
                <w:rPr>
                  <w:rStyle w:val="InternetLink"/>
                  <w:rFonts w:ascii="Times New Roman;serif" w:hAnsi="Times New Roman;serif"/>
                  <w:b/>
                  <w:color w:val="0000FF"/>
                  <w:sz w:val="20"/>
                  <w:u w:val="single"/>
                </w:rPr>
                <w:t>Part I – FINANCIAL INFORMATION</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b3ec25769c64ca5a7099a2dcb8d1969_13">
              <w:r>
                <w:rPr>
                  <w:rStyle w:val="InternetLink"/>
                  <w:rFonts w:ascii="Times New Roman;serif" w:hAnsi="Times New Roman;serif"/>
                  <w:b w:val="false"/>
                  <w:strike w:val="false"/>
                  <w:dstrike w:val="false"/>
                  <w:color w:val="000000"/>
                  <w:sz w:val="20"/>
                  <w:u w:val="none"/>
                  <w:effect w:val="none"/>
                </w:rPr>
                <w:t>3</w:t>
              </w:r>
            </w:hyperlink>
          </w:p>
        </w:tc>
      </w:tr>
      <w:tr>
        <w:trPr/>
        <w:tc>
          <w:tcPr>
            <w:tcW w:w="9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b3ec25769c64ca5a7099a2dcb8d1969_16">
              <w:r>
                <w:rPr>
                  <w:rStyle w:val="InternetLink"/>
                  <w:rFonts w:ascii="Times New Roman;serif" w:hAnsi="Times New Roman;serif"/>
                  <w:b w:val="false"/>
                  <w:color w:val="0000FF"/>
                  <w:sz w:val="20"/>
                  <w:u w:val="single"/>
                </w:rPr>
                <w:t>Item 1 – Financial Statements (unaudited)</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b3ec25769c64ca5a7099a2dcb8d1969_16">
              <w:r>
                <w:rPr>
                  <w:rStyle w:val="InternetLink"/>
                  <w:rFonts w:ascii="Times New Roman;serif" w:hAnsi="Times New Roman;serif"/>
                  <w:b w:val="false"/>
                  <w:strike w:val="false"/>
                  <w:dstrike w:val="false"/>
                  <w:color w:val="000000"/>
                  <w:sz w:val="20"/>
                  <w:u w:val="none"/>
                  <w:effect w:val="none"/>
                </w:rPr>
                <w:t>3</w:t>
              </w:r>
            </w:hyperlink>
          </w:p>
        </w:tc>
      </w:tr>
      <w:tr>
        <w:trPr/>
        <w:tc>
          <w:tcPr>
            <w:tcW w:w="9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b3ec25769c64ca5a7099a2dcb8d1969_19">
              <w:r>
                <w:rPr>
                  <w:rStyle w:val="InternetLink"/>
                  <w:rFonts w:ascii="Times New Roman;serif" w:hAnsi="Times New Roman;serif"/>
                  <w:b w:val="false"/>
                  <w:color w:val="0000FF"/>
                  <w:sz w:val="20"/>
                  <w:u w:val="single"/>
                </w:rPr>
                <w:t>Consolidated Statements of Income for the Thirteen and Thirty-Nine Weeks ended May 30, 2026 and May 31, 2025</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b3ec25769c64ca5a7099a2dcb8d1969_19">
              <w:r>
                <w:rPr>
                  <w:rStyle w:val="InternetLink"/>
                  <w:rFonts w:ascii="Times New Roman;serif" w:hAnsi="Times New Roman;serif"/>
                  <w:b w:val="false"/>
                  <w:strike w:val="false"/>
                  <w:dstrike w:val="false"/>
                  <w:color w:val="000000"/>
                  <w:sz w:val="20"/>
                  <w:u w:val="none"/>
                  <w:effect w:val="none"/>
                </w:rPr>
                <w:t>3</w:t>
              </w:r>
            </w:hyperlink>
          </w:p>
        </w:tc>
      </w:tr>
      <w:tr>
        <w:trPr/>
        <w:tc>
          <w:tcPr>
            <w:tcW w:w="9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i6b3ec25769c64ca5a7099a2dcb8d1969_22">
              <w:r>
                <w:rPr>
                  <w:rStyle w:val="InternetLink"/>
                  <w:rFonts w:ascii="Times New Roman;serif" w:hAnsi="Times New Roman;serif"/>
                  <w:b w:val="false"/>
                  <w:color w:val="0000FF"/>
                  <w:sz w:val="20"/>
                  <w:u w:val="single"/>
                </w:rPr>
                <w:t>Consolidated Statements of Comprehensive Income for the Thirteen and Thirty-Nine Weeks ended May 30, 2026 and May 31, 2025</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b3ec25769c64ca5a7099a2dcb8d1969_22">
              <w:r>
                <w:rPr>
                  <w:rStyle w:val="InternetLink"/>
                  <w:rFonts w:ascii="Times New Roman;serif" w:hAnsi="Times New Roman;serif"/>
                  <w:b w:val="false"/>
                  <w:strike w:val="false"/>
                  <w:dstrike w:val="false"/>
                  <w:color w:val="000000"/>
                  <w:sz w:val="20"/>
                  <w:u w:val="none"/>
                  <w:effect w:val="none"/>
                </w:rPr>
                <w:t>4</w:t>
              </w:r>
            </w:hyperlink>
          </w:p>
        </w:tc>
      </w:tr>
      <w:tr>
        <w:trPr/>
        <w:tc>
          <w:tcPr>
            <w:tcW w:w="9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i6b3ec25769c64ca5a7099a2dcb8d1969_25">
              <w:r>
                <w:rPr>
                  <w:rStyle w:val="InternetLink"/>
                  <w:rFonts w:ascii="Times New Roman;serif" w:hAnsi="Times New Roman;serif"/>
                  <w:b w:val="false"/>
                  <w:color w:val="0000FF"/>
                  <w:sz w:val="20"/>
                  <w:u w:val="single"/>
                </w:rPr>
                <w:t>Consolidated Balance Sheets as of May 30, 2026 and August 30, 2025</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b3ec25769c64ca5a7099a2dcb8d1969_25">
              <w:r>
                <w:rPr>
                  <w:rStyle w:val="InternetLink"/>
                  <w:rFonts w:ascii="Times New Roman;serif" w:hAnsi="Times New Roman;serif"/>
                  <w:b w:val="false"/>
                  <w:strike w:val="false"/>
                  <w:dstrike w:val="false"/>
                  <w:color w:val="000000"/>
                  <w:sz w:val="20"/>
                  <w:u w:val="none"/>
                  <w:effect w:val="none"/>
                </w:rPr>
                <w:t>5</w:t>
              </w:r>
            </w:hyperlink>
          </w:p>
        </w:tc>
      </w:tr>
      <w:tr>
        <w:trPr/>
        <w:tc>
          <w:tcPr>
            <w:tcW w:w="9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i6b3ec25769c64ca5a7099a2dcb8d1969_28">
              <w:r>
                <w:rPr>
                  <w:rStyle w:val="InternetLink"/>
                  <w:rFonts w:ascii="Times New Roman;serif" w:hAnsi="Times New Roman;serif"/>
                  <w:b w:val="false"/>
                  <w:color w:val="0000FF"/>
                  <w:sz w:val="20"/>
                  <w:u w:val="single"/>
                </w:rPr>
                <w:t>Consolidated Statements of Shareholders’ Equity for the Thirteen and Thirty-Nine Weeks ended May 30, 2026 and May 31, 2025</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b3ec25769c64ca5a7099a2dcb8d1969_28">
              <w:r>
                <w:rPr>
                  <w:rStyle w:val="InternetLink"/>
                  <w:rFonts w:ascii="Times New Roman;serif" w:hAnsi="Times New Roman;serif"/>
                  <w:b w:val="false"/>
                  <w:strike w:val="false"/>
                  <w:dstrike w:val="false"/>
                  <w:color w:val="000000"/>
                  <w:sz w:val="20"/>
                  <w:u w:val="none"/>
                  <w:effect w:val="none"/>
                </w:rPr>
                <w:t>6</w:t>
              </w:r>
            </w:hyperlink>
          </w:p>
        </w:tc>
      </w:tr>
      <w:tr>
        <w:trPr/>
        <w:tc>
          <w:tcPr>
            <w:tcW w:w="9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i6b3ec25769c64ca5a7099a2dcb8d1969_31">
              <w:r>
                <w:rPr>
                  <w:rStyle w:val="InternetLink"/>
                  <w:rFonts w:ascii="Times New Roman;serif" w:hAnsi="Times New Roman;serif"/>
                  <w:b w:val="false"/>
                  <w:color w:val="0000FF"/>
                  <w:sz w:val="20"/>
                  <w:u w:val="single"/>
                </w:rPr>
                <w:t>Consolidated Statements of Cash Flows for the Thirty-Nine Weeks ended May 30, 2026 and May 31, 2025</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b3ec25769c64ca5a7099a2dcb8d1969_31">
              <w:r>
                <w:rPr>
                  <w:rStyle w:val="InternetLink"/>
                  <w:rFonts w:ascii="Times New Roman;serif" w:hAnsi="Times New Roman;serif"/>
                  <w:b w:val="false"/>
                  <w:strike w:val="false"/>
                  <w:dstrike w:val="false"/>
                  <w:color w:val="000000"/>
                  <w:sz w:val="20"/>
                  <w:u w:val="none"/>
                  <w:effect w:val="none"/>
                </w:rPr>
                <w:t>8</w:t>
              </w:r>
            </w:hyperlink>
          </w:p>
        </w:tc>
      </w:tr>
      <w:tr>
        <w:trPr/>
        <w:tc>
          <w:tcPr>
            <w:tcW w:w="9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b3ec25769c64ca5a7099a2dcb8d1969_34">
              <w:r>
                <w:rPr>
                  <w:rStyle w:val="InternetLink"/>
                  <w:rFonts w:ascii="Times New Roman;serif" w:hAnsi="Times New Roman;serif"/>
                  <w:b w:val="false"/>
                  <w:color w:val="0000FF"/>
                  <w:sz w:val="20"/>
                  <w:u w:val="single"/>
                </w:rPr>
                <w:t>Notes to Consolidated Financial Statements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b3ec25769c64ca5a7099a2dcb8d1969_34">
              <w:r>
                <w:rPr>
                  <w:rStyle w:val="InternetLink"/>
                  <w:rFonts w:ascii="Times New Roman;serif" w:hAnsi="Times New Roman;serif"/>
                  <w:b w:val="false"/>
                  <w:strike w:val="false"/>
                  <w:dstrike w:val="false"/>
                  <w:color w:val="000000"/>
                  <w:sz w:val="20"/>
                  <w:u w:val="none"/>
                  <w:effect w:val="none"/>
                </w:rPr>
                <w:t>9</w:t>
              </w:r>
            </w:hyperlink>
          </w:p>
        </w:tc>
      </w:tr>
      <w:tr>
        <w:trPr/>
        <w:tc>
          <w:tcPr>
            <w:tcW w:w="9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b3ec25769c64ca5a7099a2dcb8d1969_82">
              <w:r>
                <w:rPr>
                  <w:rStyle w:val="InternetLink"/>
                  <w:rFonts w:ascii="Times New Roman;serif" w:hAnsi="Times New Roman;serif"/>
                  <w:b w:val="false"/>
                  <w:color w:val="0000FF"/>
                  <w:sz w:val="20"/>
                  <w:u w:val="single"/>
                </w:rPr>
                <w:t>Item 2 – Management’s Discussion and Analysis of Financial Condition and Results of Operations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b3ec25769c64ca5a7099a2dcb8d1969_82">
              <w:r>
                <w:rPr>
                  <w:rStyle w:val="InternetLink"/>
                  <w:rFonts w:ascii="Times New Roman;serif" w:hAnsi="Times New Roman;serif"/>
                  <w:b w:val="false"/>
                  <w:strike w:val="false"/>
                  <w:dstrike w:val="false"/>
                  <w:color w:val="000000"/>
                  <w:sz w:val="20"/>
                  <w:u w:val="none"/>
                  <w:effect w:val="none"/>
                </w:rPr>
                <w:t>22</w:t>
              </w:r>
            </w:hyperlink>
          </w:p>
        </w:tc>
      </w:tr>
      <w:tr>
        <w:trPr/>
        <w:tc>
          <w:tcPr>
            <w:tcW w:w="9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b3ec25769c64ca5a7099a2dcb8d1969_112">
              <w:r>
                <w:rPr>
                  <w:rStyle w:val="InternetLink"/>
                  <w:rFonts w:ascii="Times New Roman;serif" w:hAnsi="Times New Roman;serif"/>
                  <w:b w:val="false"/>
                  <w:color w:val="0000FF"/>
                  <w:sz w:val="20"/>
                  <w:u w:val="single"/>
                </w:rPr>
                <w:t>Item 3 – Quantitative and Qualitative Disclosures About Market Risk</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b3ec25769c64ca5a7099a2dcb8d1969_112">
              <w:r>
                <w:rPr>
                  <w:rStyle w:val="InternetLink"/>
                  <w:rFonts w:ascii="Times New Roman;serif" w:hAnsi="Times New Roman;serif"/>
                  <w:b w:val="false"/>
                  <w:strike w:val="false"/>
                  <w:dstrike w:val="false"/>
                  <w:color w:val="000000"/>
                  <w:sz w:val="20"/>
                  <w:u w:val="none"/>
                  <w:effect w:val="none"/>
                </w:rPr>
                <w:t>31</w:t>
              </w:r>
            </w:hyperlink>
          </w:p>
        </w:tc>
      </w:tr>
      <w:tr>
        <w:trPr/>
        <w:tc>
          <w:tcPr>
            <w:tcW w:w="9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b3ec25769c64ca5a7099a2dcb8d1969_115">
              <w:r>
                <w:rPr>
                  <w:rStyle w:val="InternetLink"/>
                  <w:rFonts w:ascii="Times New Roman;serif" w:hAnsi="Times New Roman;serif"/>
                  <w:b w:val="false"/>
                  <w:color w:val="0000FF"/>
                  <w:sz w:val="20"/>
                  <w:u w:val="single"/>
                </w:rPr>
                <w:t>Item 4 – Controls and Procedures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b3ec25769c64ca5a7099a2dcb8d1969_115">
              <w:r>
                <w:rPr>
                  <w:rStyle w:val="InternetLink"/>
                  <w:rFonts w:ascii="Times New Roman;serif" w:hAnsi="Times New Roman;serif"/>
                  <w:b w:val="false"/>
                  <w:strike w:val="false"/>
                  <w:dstrike w:val="false"/>
                  <w:color w:val="000000"/>
                  <w:sz w:val="20"/>
                  <w:u w:val="none"/>
                  <w:effect w:val="none"/>
                </w:rPr>
                <w:t>32</w:t>
              </w:r>
            </w:hyperlink>
          </w:p>
        </w:tc>
      </w:tr>
      <w:tr>
        <w:trPr/>
        <w:tc>
          <w:tcPr>
            <w:tcW w:w="9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b3ec25769c64ca5a7099a2dcb8d1969_118">
              <w:r>
                <w:rPr>
                  <w:rStyle w:val="InternetLink"/>
                  <w:rFonts w:ascii="Times New Roman;serif" w:hAnsi="Times New Roman;serif"/>
                  <w:b/>
                  <w:color w:val="0000FF"/>
                  <w:sz w:val="20"/>
                  <w:u w:val="single"/>
                </w:rPr>
                <w:t>Part II – OTHER INFORMATION</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b3ec25769c64ca5a7099a2dcb8d1969_118">
              <w:r>
                <w:rPr>
                  <w:rStyle w:val="InternetLink"/>
                  <w:rFonts w:ascii="Times New Roman;serif" w:hAnsi="Times New Roman;serif"/>
                  <w:b w:val="false"/>
                  <w:strike w:val="false"/>
                  <w:dstrike w:val="false"/>
                  <w:color w:val="000000"/>
                  <w:sz w:val="20"/>
                  <w:u w:val="none"/>
                  <w:effect w:val="none"/>
                </w:rPr>
                <w:t>34</w:t>
              </w:r>
            </w:hyperlink>
          </w:p>
        </w:tc>
      </w:tr>
      <w:tr>
        <w:trPr/>
        <w:tc>
          <w:tcPr>
            <w:tcW w:w="9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b3ec25769c64ca5a7099a2dcb8d1969_121">
              <w:r>
                <w:rPr>
                  <w:rStyle w:val="InternetLink"/>
                  <w:rFonts w:ascii="Times New Roman;serif" w:hAnsi="Times New Roman;serif"/>
                  <w:b w:val="false"/>
                  <w:color w:val="0000FF"/>
                  <w:sz w:val="20"/>
                  <w:u w:val="single"/>
                </w:rPr>
                <w:t>Item 1 – Legal Proceedings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b3ec25769c64ca5a7099a2dcb8d1969_121">
              <w:r>
                <w:rPr>
                  <w:rStyle w:val="InternetLink"/>
                  <w:rFonts w:ascii="Times New Roman;serif" w:hAnsi="Times New Roman;serif"/>
                  <w:b w:val="false"/>
                  <w:strike w:val="false"/>
                  <w:dstrike w:val="false"/>
                  <w:color w:val="000000"/>
                  <w:sz w:val="20"/>
                  <w:u w:val="none"/>
                  <w:effect w:val="none"/>
                </w:rPr>
                <w:t>34</w:t>
              </w:r>
            </w:hyperlink>
          </w:p>
        </w:tc>
      </w:tr>
      <w:tr>
        <w:trPr/>
        <w:tc>
          <w:tcPr>
            <w:tcW w:w="9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b3ec25769c64ca5a7099a2dcb8d1969_124">
              <w:r>
                <w:rPr>
                  <w:rStyle w:val="InternetLink"/>
                  <w:rFonts w:ascii="Times New Roman;serif" w:hAnsi="Times New Roman;serif"/>
                  <w:b w:val="false"/>
                  <w:color w:val="0000FF"/>
                  <w:sz w:val="20"/>
                  <w:u w:val="single"/>
                </w:rPr>
                <w:t>Item 1A – Risk Factors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b3ec25769c64ca5a7099a2dcb8d1969_124">
              <w:r>
                <w:rPr>
                  <w:rStyle w:val="InternetLink"/>
                  <w:rFonts w:ascii="Times New Roman;serif" w:hAnsi="Times New Roman;serif"/>
                  <w:b w:val="false"/>
                  <w:strike w:val="false"/>
                  <w:dstrike w:val="false"/>
                  <w:color w:val="000000"/>
                  <w:sz w:val="20"/>
                  <w:u w:val="none"/>
                  <w:effect w:val="none"/>
                </w:rPr>
                <w:t>34</w:t>
              </w:r>
            </w:hyperlink>
          </w:p>
        </w:tc>
      </w:tr>
      <w:tr>
        <w:trPr/>
        <w:tc>
          <w:tcPr>
            <w:tcW w:w="9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b3ec25769c64ca5a7099a2dcb8d1969_127">
              <w:r>
                <w:rPr>
                  <w:rStyle w:val="InternetLink"/>
                  <w:rFonts w:ascii="Times New Roman;serif" w:hAnsi="Times New Roman;serif"/>
                  <w:b w:val="false"/>
                  <w:color w:val="0000FF"/>
                  <w:sz w:val="20"/>
                  <w:u w:val="single"/>
                </w:rPr>
                <w:t>Item 2 – Unregistered Sales of Equity Securities and Use of Proceeds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b3ec25769c64ca5a7099a2dcb8d1969_127">
              <w:r>
                <w:rPr>
                  <w:rStyle w:val="InternetLink"/>
                  <w:rFonts w:ascii="Times New Roman;serif" w:hAnsi="Times New Roman;serif"/>
                  <w:b w:val="false"/>
                  <w:strike w:val="false"/>
                  <w:dstrike w:val="false"/>
                  <w:color w:val="000000"/>
                  <w:sz w:val="20"/>
                  <w:u w:val="none"/>
                  <w:effect w:val="none"/>
                </w:rPr>
                <w:t>38</w:t>
              </w:r>
            </w:hyperlink>
          </w:p>
        </w:tc>
      </w:tr>
      <w:tr>
        <w:trPr/>
        <w:tc>
          <w:tcPr>
            <w:tcW w:w="9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b3ec25769c64ca5a7099a2dcb8d1969_130">
              <w:r>
                <w:rPr>
                  <w:rStyle w:val="InternetLink"/>
                  <w:rFonts w:ascii="Times New Roman;serif" w:hAnsi="Times New Roman;serif"/>
                  <w:b w:val="false"/>
                  <w:color w:val="0000FF"/>
                  <w:sz w:val="20"/>
                  <w:u w:val="single"/>
                </w:rPr>
                <w:t>Item 3 – Defaults Upon Senior Securities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b3ec25769c64ca5a7099a2dcb8d1969_130">
              <w:r>
                <w:rPr>
                  <w:rStyle w:val="InternetLink"/>
                  <w:rFonts w:ascii="Times New Roman;serif" w:hAnsi="Times New Roman;serif"/>
                  <w:b w:val="false"/>
                  <w:strike w:val="false"/>
                  <w:dstrike w:val="false"/>
                  <w:color w:val="000000"/>
                  <w:sz w:val="20"/>
                  <w:u w:val="none"/>
                  <w:effect w:val="none"/>
                </w:rPr>
                <w:t>38</w:t>
              </w:r>
            </w:hyperlink>
          </w:p>
        </w:tc>
      </w:tr>
      <w:tr>
        <w:trPr/>
        <w:tc>
          <w:tcPr>
            <w:tcW w:w="9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b3ec25769c64ca5a7099a2dcb8d1969_133">
              <w:r>
                <w:rPr>
                  <w:rStyle w:val="InternetLink"/>
                  <w:rFonts w:ascii="Times New Roman;serif" w:hAnsi="Times New Roman;serif"/>
                  <w:b w:val="false"/>
                  <w:color w:val="0000FF"/>
                  <w:sz w:val="20"/>
                  <w:u w:val="single"/>
                </w:rPr>
                <w:t>Item 4 – Mine Safety Disclosures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b3ec25769c64ca5a7099a2dcb8d1969_133">
              <w:r>
                <w:rPr>
                  <w:rStyle w:val="InternetLink"/>
                  <w:rFonts w:ascii="Times New Roman;serif" w:hAnsi="Times New Roman;serif"/>
                  <w:b w:val="false"/>
                  <w:strike w:val="false"/>
                  <w:dstrike w:val="false"/>
                  <w:color w:val="000000"/>
                  <w:sz w:val="20"/>
                  <w:u w:val="none"/>
                  <w:effect w:val="none"/>
                </w:rPr>
                <w:t>38</w:t>
              </w:r>
            </w:hyperlink>
          </w:p>
        </w:tc>
      </w:tr>
      <w:tr>
        <w:trPr/>
        <w:tc>
          <w:tcPr>
            <w:tcW w:w="9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b3ec25769c64ca5a7099a2dcb8d1969_136">
              <w:r>
                <w:rPr>
                  <w:rStyle w:val="InternetLink"/>
                  <w:rFonts w:ascii="Times New Roman;serif" w:hAnsi="Times New Roman;serif"/>
                  <w:b w:val="false"/>
                  <w:color w:val="0000FF"/>
                  <w:sz w:val="20"/>
                  <w:u w:val="single"/>
                </w:rPr>
                <w:t>Item 5 – Other Information</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b3ec25769c64ca5a7099a2dcb8d1969_136">
              <w:r>
                <w:rPr>
                  <w:rStyle w:val="InternetLink"/>
                  <w:rFonts w:ascii="Times New Roman;serif" w:hAnsi="Times New Roman;serif"/>
                  <w:b w:val="false"/>
                  <w:strike w:val="false"/>
                  <w:dstrike w:val="false"/>
                  <w:color w:val="000000"/>
                  <w:sz w:val="20"/>
                  <w:u w:val="none"/>
                  <w:effect w:val="none"/>
                </w:rPr>
                <w:t>38</w:t>
              </w:r>
            </w:hyperlink>
          </w:p>
        </w:tc>
      </w:tr>
      <w:tr>
        <w:trPr/>
        <w:tc>
          <w:tcPr>
            <w:tcW w:w="9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b3ec25769c64ca5a7099a2dcb8d1969_139">
              <w:r>
                <w:rPr>
                  <w:rStyle w:val="InternetLink"/>
                  <w:rFonts w:ascii="Times New Roman;serif" w:hAnsi="Times New Roman;serif"/>
                  <w:b w:val="false"/>
                  <w:color w:val="0000FF"/>
                  <w:sz w:val="20"/>
                  <w:u w:val="single"/>
                </w:rPr>
                <w:t>Item 6 – Exhibits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b3ec25769c64ca5a7099a2dcb8d1969_139">
              <w:r>
                <w:rPr>
                  <w:rStyle w:val="InternetLink"/>
                  <w:rFonts w:ascii="Times New Roman;serif" w:hAnsi="Times New Roman;serif"/>
                  <w:b w:val="false"/>
                  <w:strike w:val="false"/>
                  <w:dstrike w:val="false"/>
                  <w:color w:val="000000"/>
                  <w:sz w:val="20"/>
                  <w:u w:val="none"/>
                  <w:effect w:val="none"/>
                </w:rPr>
                <w:t>39</w:t>
              </w:r>
            </w:hyperlink>
          </w:p>
        </w:tc>
      </w:tr>
      <w:tr>
        <w:trPr/>
        <w:tc>
          <w:tcPr>
            <w:tcW w:w="9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b3ec25769c64ca5a7099a2dcb8d1969_142">
              <w:r>
                <w:rPr>
                  <w:rStyle w:val="InternetLink"/>
                  <w:rFonts w:ascii="Times New Roman;serif" w:hAnsi="Times New Roman;serif"/>
                  <w:b w:val="false"/>
                  <w:color w:val="0000FF"/>
                  <w:sz w:val="20"/>
                  <w:u w:val="single"/>
                </w:rPr>
                <w:t>Signatures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b3ec25769c64ca5a7099a2dcb8d1969_142">
              <w:r>
                <w:rPr>
                  <w:rStyle w:val="InternetLink"/>
                  <w:rFonts w:ascii="Times New Roman;serif" w:hAnsi="Times New Roman;serif"/>
                  <w:b w:val="false"/>
                  <w:strike w:val="false"/>
                  <w:dstrike w:val="false"/>
                  <w:color w:val="000000"/>
                  <w:sz w:val="20"/>
                  <w:u w:val="none"/>
                  <w:effect w:val="none"/>
                </w:rPr>
                <w:t>40</w:t>
              </w:r>
            </w:hyperlink>
          </w:p>
        </w:tc>
      </w:tr>
    </w:tbl>
    <w:tbl>
      <w:tblPr>
        <w:tblW w:w="3555" w:type="dxa"/>
        <w:jc w:val="left"/>
        <w:tblInd w:w="0" w:type="dxa"/>
        <w:tblLayout w:type="fixed"/>
        <w:tblCellMar>
          <w:top w:w="28" w:type="dxa"/>
          <w:left w:w="28" w:type="dxa"/>
          <w:bottom w:w="28" w:type="dxa"/>
          <w:right w:w="28" w:type="dxa"/>
        </w:tblCellMar>
      </w:tblPr>
      <w:tblGrid>
        <w:gridCol w:w="1137"/>
        <w:gridCol w:w="1000"/>
        <w:gridCol w:w="1418"/>
      </w:tblGrid>
      <w:tr>
        <w:trPr/>
        <w:tc>
          <w:tcPr>
            <w:tcW w:w="1137"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ind w:left="0" w:right="0" w:hanging="0"/>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Certifications</w:t>
            </w:r>
          </w:p>
        </w:tc>
      </w:tr>
      <w:tr>
        <w:trPr/>
        <w:tc>
          <w:tcPr>
            <w:tcW w:w="35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unf-20260530xexx311.htm">
              <w:r>
                <w:rPr>
                  <w:rStyle w:val="InternetLink"/>
                  <w:rFonts w:ascii="Times New Roman;serif" w:hAnsi="Times New Roman;serif"/>
                  <w:b w:val="false"/>
                  <w:color w:val="0000FF"/>
                  <w:sz w:val="20"/>
                  <w:u w:val="single"/>
                </w:rPr>
                <w:t>Ex-31.1 Section 302 Certification of CEO</w:t>
              </w:r>
            </w:hyperlink>
          </w:p>
        </w:tc>
      </w:tr>
      <w:tr>
        <w:trPr/>
        <w:tc>
          <w:tcPr>
            <w:tcW w:w="35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unf-20260530xexx312.htm">
              <w:r>
                <w:rPr>
                  <w:rStyle w:val="InternetLink"/>
                  <w:rFonts w:ascii="Times New Roman;serif" w:hAnsi="Times New Roman;serif"/>
                  <w:b w:val="false"/>
                  <w:color w:val="0000FF"/>
                  <w:sz w:val="20"/>
                  <w:u w:val="single"/>
                </w:rPr>
                <w:t>Ex-31.2 Section 302 Certification of CFO</w:t>
              </w:r>
            </w:hyperlink>
          </w:p>
        </w:tc>
      </w:tr>
      <w:tr>
        <w:trPr/>
        <w:tc>
          <w:tcPr>
            <w:tcW w:w="35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unf-20260530xexx321.htm">
              <w:r>
                <w:rPr>
                  <w:rStyle w:val="InternetLink"/>
                  <w:rFonts w:ascii="Times New Roman;serif" w:hAnsi="Times New Roman;serif"/>
                  <w:b w:val="false"/>
                  <w:color w:val="0000FF"/>
                  <w:sz w:val="20"/>
                  <w:u w:val="single"/>
                </w:rPr>
                <w:t>Ex-32.1 Section 906 Certification of CEO</w:t>
              </w:r>
            </w:hyperlink>
          </w:p>
        </w:tc>
      </w:tr>
      <w:tr>
        <w:trPr/>
        <w:tc>
          <w:tcPr>
            <w:tcW w:w="35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unf-20260530xexx322.htm">
              <w:r>
                <w:rPr>
                  <w:rStyle w:val="InternetLink"/>
                  <w:rFonts w:ascii="Times New Roman;serif" w:hAnsi="Times New Roman;serif"/>
                  <w:b w:val="false"/>
                  <w:color w:val="0000FF"/>
                  <w:sz w:val="20"/>
                  <w:u w:val="single"/>
                </w:rPr>
                <w:t>Ex-32.2 Section 906 Certification of CFO</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6b3ec25769c64ca5a7099a2dcb8d1969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Consolidated Statements of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UniFirst Corporation and Subsidiaries</w:t>
      </w:r>
    </w:p>
    <w:p>
      <w:pPr>
        <w:pStyle w:val="TextBody"/>
        <w:bidi w:val="0"/>
        <w:spacing w:lineRule="auto" w:line="288" w:before="0" w:after="24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454"/>
        <w:gridCol w:w="1255"/>
        <w:gridCol w:w="1258"/>
        <w:gridCol w:w="109"/>
        <w:gridCol w:w="109"/>
        <w:gridCol w:w="109"/>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5"/>
      </w:tblGrid>
      <w:tr>
        <w:trPr/>
        <w:tc>
          <w:tcPr>
            <w:tcW w:w="1454"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Thirty-Nine Weeks Ended</w:t>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 thousands, except per share data)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May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May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May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May 31, 2025</w:t>
            </w:r>
          </w:p>
        </w:tc>
      </w:tr>
      <w:tr>
        <w:trPr/>
        <w:tc>
          <w:tcPr>
            <w:tcW w:w="3967"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634,402 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610,778 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1,878,225 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1,817,905 </w:t>
            </w:r>
          </w:p>
        </w:tc>
        <w:tc>
          <w:tcPr>
            <w:tcW w:w="155"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 xml:space="preserve">Cost of revenues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399,676 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385,189 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1,196,391 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1,160,388 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CFF0FC"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 xml:space="preserve">Selling and administrative expenses </w:t>
            </w:r>
            <w:r>
              <w:rPr>
                <w:rFonts w:ascii="Times New Roman;serif" w:hAnsi="Times New Roman;serif"/>
                <w:b w:val="false"/>
                <w:color w:val="000000"/>
                <w:sz w:val="13"/>
              </w:rPr>
              <w:t>(1)</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175,925 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142,690 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481,144 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418,119 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104,476 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611,372 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562,601 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1,783,873 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1,682,983 </w:t>
            </w:r>
          </w:p>
        </w:tc>
        <w:tc>
          <w:tcPr>
            <w:tcW w:w="155"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23,030 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48,177 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94,352 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134,922 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(1,779)</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(2,514)</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(5,284)</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(7,422)</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(1,620)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net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(1,414)</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(5,218)</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(4,410)</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(9,042)</w:t>
            </w:r>
          </w:p>
        </w:tc>
        <w:tc>
          <w:tcPr>
            <w:tcW w:w="155"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24,444 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53,395 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98,762 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143,964 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4,528 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13,715 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23,999 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36,720 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19,916 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39,680 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74,763 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107,244 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Income per share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6.01 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Class B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Income per share –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5.76 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Income allocated to – Basic:</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90,126 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Class B Common Stock</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3,257 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6,334 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12,218 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17,118 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Income allocated to – Diluted:</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107,244 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Weighted average shares outstanding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14,532 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14,990 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14,549 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15,007 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Class B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3,563 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Weighted average shares outstanding –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18,216 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18,607 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18,175 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18,633 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0"/>
        <w:ind w:left="0" w:right="0" w:hanging="1224"/>
        <w:jc w:val="left"/>
        <w:rPr>
          <w:rFonts w:ascii="Times New Roman;serif" w:hAnsi="Times New Roman;serif"/>
          <w:b w:val="false"/>
          <w:color w:val="000000"/>
          <w:sz w:val="17"/>
        </w:rPr>
      </w:pPr>
      <w:r>
        <w:rPr>
          <w:rFonts w:ascii="Times New Roman;serif" w:hAnsi="Times New Roman;serif"/>
          <w:b w:val="false"/>
          <w:color w:val="000000"/>
          <w:sz w:val="17"/>
        </w:rPr>
        <w:t>(1)Exclusive of depreciation of the Company’s property, plant and equipment and amortization of its intangible assets.</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6b3ec25769c64ca5a7099a2dcb8d1969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UniFirst Corporation and Subsidiaries</w:t>
      </w:r>
    </w:p>
    <w:p>
      <w:pPr>
        <w:pStyle w:val="TextBody"/>
        <w:bidi w:val="0"/>
        <w:spacing w:lineRule="auto" w:line="288" w:before="0" w:after="24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584"/>
        <w:gridCol w:w="1395"/>
        <w:gridCol w:w="1408"/>
        <w:gridCol w:w="109"/>
        <w:gridCol w:w="109"/>
        <w:gridCol w:w="109"/>
        <w:gridCol w:w="224"/>
        <w:gridCol w:w="765"/>
        <w:gridCol w:w="115"/>
        <w:gridCol w:w="109"/>
        <w:gridCol w:w="109"/>
        <w:gridCol w:w="109"/>
        <w:gridCol w:w="224"/>
        <w:gridCol w:w="765"/>
        <w:gridCol w:w="115"/>
        <w:gridCol w:w="109"/>
        <w:gridCol w:w="109"/>
        <w:gridCol w:w="109"/>
        <w:gridCol w:w="224"/>
        <w:gridCol w:w="765"/>
        <w:gridCol w:w="115"/>
        <w:gridCol w:w="109"/>
        <w:gridCol w:w="109"/>
        <w:gridCol w:w="109"/>
        <w:gridCol w:w="211"/>
        <w:gridCol w:w="826"/>
        <w:gridCol w:w="161"/>
      </w:tblGrid>
      <w:tr>
        <w:trPr/>
        <w:tc>
          <w:tcPr>
            <w:tcW w:w="1584"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Thirty-Nine Weeks Ended</w:t>
            </w:r>
          </w:p>
        </w:tc>
      </w:tr>
      <w:tr>
        <w:trPr/>
        <w:tc>
          <w:tcPr>
            <w:tcW w:w="438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May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May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May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May 31, 2025</w:t>
            </w:r>
          </w:p>
        </w:tc>
      </w:tr>
      <w:tr>
        <w:trPr/>
        <w:tc>
          <w:tcPr>
            <w:tcW w:w="4387"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19,916 </w:t>
            </w:r>
          </w:p>
        </w:tc>
        <w:tc>
          <w:tcPr>
            <w:tcW w:w="115"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39,680 </w:t>
            </w:r>
          </w:p>
        </w:tc>
        <w:tc>
          <w:tcPr>
            <w:tcW w:w="115"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74,763 </w:t>
            </w:r>
          </w:p>
        </w:tc>
        <w:tc>
          <w:tcPr>
            <w:tcW w:w="115"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107,244 </w:t>
            </w:r>
          </w:p>
        </w:tc>
        <w:tc>
          <w:tcPr>
            <w:tcW w:w="16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Other comprehensive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7"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(1,685)</w:t>
            </w:r>
          </w:p>
        </w:tc>
        <w:tc>
          <w:tcPr>
            <w:tcW w:w="11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8,619 </w:t>
            </w:r>
          </w:p>
        </w:tc>
        <w:tc>
          <w:tcPr>
            <w:tcW w:w="11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1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(755)</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derivatives, net of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7"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(1,696)</w:t>
            </w:r>
          </w:p>
        </w:tc>
        <w:tc>
          <w:tcPr>
            <w:tcW w:w="115"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8,535 </w:t>
            </w:r>
          </w:p>
        </w:tc>
        <w:tc>
          <w:tcPr>
            <w:tcW w:w="115"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15"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(773)</w:t>
            </w:r>
          </w:p>
        </w:tc>
        <w:tc>
          <w:tcPr>
            <w:tcW w:w="16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18,220 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48,215 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74,812 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106,471 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6b3ec25769c64ca5a7099a2dcb8d1969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UniFirst Corporation and Subsidiaries</w:t>
      </w:r>
    </w:p>
    <w:p>
      <w:pPr>
        <w:pStyle w:val="TextBody"/>
        <w:bidi w:val="0"/>
        <w:spacing w:lineRule="auto" w:line="288" w:before="0" w:after="24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660"/>
        <w:gridCol w:w="2213"/>
        <w:gridCol w:w="2221"/>
        <w:gridCol w:w="109"/>
        <w:gridCol w:w="109"/>
        <w:gridCol w:w="109"/>
        <w:gridCol w:w="196"/>
        <w:gridCol w:w="871"/>
        <w:gridCol w:w="109"/>
        <w:gridCol w:w="109"/>
        <w:gridCol w:w="109"/>
        <w:gridCol w:w="109"/>
        <w:gridCol w:w="205"/>
        <w:gridCol w:w="912"/>
        <w:gridCol w:w="164"/>
      </w:tblGrid>
      <w:tr>
        <w:trPr/>
        <w:tc>
          <w:tcPr>
            <w:tcW w:w="2660" w:type="dxa"/>
            <w:tcBorders/>
            <w:vAlign w:val="center"/>
          </w:tcPr>
          <w:p>
            <w:pPr>
              <w:pStyle w:val="TableContents"/>
              <w:bidi w:val="0"/>
              <w:spacing w:before="0" w:after="283"/>
              <w:jc w:val="left"/>
              <w:rPr>
                <w:sz w:val="4"/>
                <w:szCs w:val="4"/>
              </w:rPr>
            </w:pPr>
            <w:r>
              <w:rPr>
                <w:sz w:val="4"/>
                <w:szCs w:val="4"/>
              </w:rPr>
            </w:r>
          </w:p>
        </w:tc>
        <w:tc>
          <w:tcPr>
            <w:tcW w:w="2213" w:type="dxa"/>
            <w:tcBorders/>
            <w:vAlign w:val="center"/>
          </w:tcPr>
          <w:p>
            <w:pPr>
              <w:pStyle w:val="TableContents"/>
              <w:bidi w:val="0"/>
              <w:spacing w:before="0" w:after="283"/>
              <w:jc w:val="left"/>
              <w:rPr>
                <w:sz w:val="4"/>
                <w:szCs w:val="4"/>
              </w:rPr>
            </w:pPr>
            <w:r>
              <w:rPr>
                <w:sz w:val="4"/>
                <w:szCs w:val="4"/>
              </w:rPr>
            </w:r>
          </w:p>
        </w:tc>
        <w:tc>
          <w:tcPr>
            <w:tcW w:w="2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 thousands, except share and par value data)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May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August 30, 2025</w:t>
            </w:r>
          </w:p>
        </w:tc>
      </w:tr>
      <w:tr>
        <w:trPr/>
        <w:tc>
          <w:tcPr>
            <w:tcW w:w="7094"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163,225 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2"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203,501 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Short-term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5,672 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FF0FC"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6"/>
              </w:rPr>
            </w:pPr>
            <w:r>
              <w:rPr>
                <w:rFonts w:ascii="Times New Roman;serif" w:hAnsi="Times New Roman;serif"/>
                <w:b w:val="false"/>
                <w:color w:val="000000"/>
                <w:sz w:val="16"/>
              </w:rPr>
              <w:t>Receivables, less reserves of $7,185 and $6,802</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295,580 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285,297 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145,197 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Rental merchandise in service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237,344 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227,720 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Prepaid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7,708 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current assets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63,571 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49,508 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919,940 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924,603 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plant and equipment, net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846,697 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829,622 </w:t>
            </w:r>
          </w:p>
        </w:tc>
        <w:tc>
          <w:tcPr>
            <w:tcW w:w="16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669,925 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657,748 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Customer contracts, net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68,122 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74,784 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Other 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31,045 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977 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right-of-use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70,110 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207,860 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189,266 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2,820,694 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2,778,155 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Liabilities and shareholders’ equity</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89,560 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2"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94,980 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176,903 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Accrued taxes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674 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liabilities,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17,846 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liabilities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295,694 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290,403 </w:t>
            </w:r>
          </w:p>
        </w:tc>
        <w:tc>
          <w:tcPr>
            <w:tcW w:w="16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129,572 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128,554 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Accrued and deferred income taxes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133,157 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135,648 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54,593 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622,649 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609,198 </w:t>
            </w:r>
          </w:p>
        </w:tc>
        <w:tc>
          <w:tcPr>
            <w:tcW w:w="16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Commitments and contingencies (Note 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Shareholders’ equity:</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6"/>
              </w:rPr>
            </w:pPr>
            <w:r>
              <w:rPr>
                <w:rFonts w:ascii="Times New Roman;serif" w:hAnsi="Times New Roman;serif"/>
                <w:b w:val="false"/>
                <w:color w:val="000000"/>
                <w:sz w:val="16"/>
              </w:rPr>
              <w:t>Preferred Stock, $1.00 par value; 2,000,000 shares authorized; no shares issued and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FF0FC" w:val="clear"/>
            <w:tcMar>
              <w:top w:w="0" w:type="dxa"/>
              <w:left w:w="0" w:type="dxa"/>
              <w:bottom w:w="0" w:type="dxa"/>
              <w:right w:w="0" w:type="dxa"/>
            </w:tcMar>
            <w:vAlign w:val="center"/>
          </w:tcPr>
          <w:p>
            <w:pPr>
              <w:pStyle w:val="TableContents"/>
              <w:bidi w:val="0"/>
              <w:spacing w:lineRule="auto" w:line="276" w:before="0" w:after="0"/>
              <w:ind w:left="0" w:right="0" w:hanging="90"/>
              <w:jc w:val="left"/>
              <w:rPr>
                <w:rFonts w:ascii="Times New Roman;serif" w:hAnsi="Times New Roman;serif"/>
                <w:b w:val="false"/>
                <w:color w:val="000000"/>
                <w:sz w:val="16"/>
              </w:rPr>
            </w:pPr>
            <w:r>
              <w:rPr>
                <w:rFonts w:ascii="Times New Roman;serif" w:hAnsi="Times New Roman;serif"/>
                <w:b w:val="false"/>
                <w:color w:val="000000"/>
                <w:sz w:val="16"/>
              </w:rPr>
              <w:t>Common Stock, $0.10 par value; 30,000,000 shares authorized; 14,532,640 and 14,679,646 shares issued and outstanding as of May 30, 2026 and August 30, 2025, respectively</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1,468 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76" w:before="0" w:after="0"/>
              <w:ind w:left="0" w:right="0" w:hanging="90"/>
              <w:jc w:val="left"/>
              <w:rPr>
                <w:rFonts w:ascii="Times New Roman;serif" w:hAnsi="Times New Roman;serif"/>
                <w:b w:val="false"/>
                <w:color w:val="000000"/>
                <w:sz w:val="16"/>
              </w:rPr>
            </w:pPr>
            <w:r>
              <w:rPr>
                <w:rFonts w:ascii="Times New Roman;serif" w:hAnsi="Times New Roman;serif"/>
                <w:b w:val="false"/>
                <w:color w:val="000000"/>
                <w:sz w:val="16"/>
              </w:rPr>
              <w:t>Class B Common Stock, $0.10 par value; 20,000,000 shares authorized; 3,551,265 and 3,551,265 shares issued and outstanding as of May 30, 2026 and August 30, 2025,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Capital surplus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112,621 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109,107 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2,105,352 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2,079,812 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loss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(21,736)</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(21,785)</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Total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2,198,045 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2,168,957 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 and shareholders’ equity</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2,820,694 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2"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2,778,155 </w:t>
            </w:r>
          </w:p>
        </w:tc>
        <w:tc>
          <w:tcPr>
            <w:tcW w:w="16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6b3ec25769c64ca5a7099a2dcb8d1969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Shareholders’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UniFirst Corporation and Subsidiaries</w:t>
      </w:r>
    </w:p>
    <w:p>
      <w:pPr>
        <w:pStyle w:val="TextBody"/>
        <w:bidi w:val="0"/>
        <w:spacing w:lineRule="auto" w:line="288" w:before="0" w:after="24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bl>
      <w:tblPr>
        <w:tblW w:w="10655" w:type="dxa"/>
        <w:jc w:val="left"/>
        <w:tblInd w:w="0" w:type="dxa"/>
        <w:tblLayout w:type="fixed"/>
        <w:tblCellMar>
          <w:top w:w="28" w:type="dxa"/>
          <w:left w:w="28" w:type="dxa"/>
          <w:bottom w:w="28" w:type="dxa"/>
          <w:right w:w="28" w:type="dxa"/>
        </w:tblCellMar>
      </w:tblPr>
      <w:tblGrid>
        <w:gridCol w:w="483"/>
        <w:gridCol w:w="253"/>
        <w:gridCol w:w="255"/>
        <w:gridCol w:w="109"/>
        <w:gridCol w:w="109"/>
        <w:gridCol w:w="109"/>
        <w:gridCol w:w="230"/>
        <w:gridCol w:w="230"/>
        <w:gridCol w:w="231"/>
        <w:gridCol w:w="109"/>
        <w:gridCol w:w="109"/>
        <w:gridCol w:w="109"/>
        <w:gridCol w:w="230"/>
        <w:gridCol w:w="230"/>
        <w:gridCol w:w="231"/>
        <w:gridCol w:w="109"/>
        <w:gridCol w:w="109"/>
        <w:gridCol w:w="109"/>
        <w:gridCol w:w="181"/>
        <w:gridCol w:w="496"/>
        <w:gridCol w:w="109"/>
        <w:gridCol w:w="109"/>
        <w:gridCol w:w="109"/>
        <w:gridCol w:w="109"/>
        <w:gridCol w:w="187"/>
        <w:gridCol w:w="390"/>
        <w:gridCol w:w="114"/>
        <w:gridCol w:w="109"/>
        <w:gridCol w:w="109"/>
        <w:gridCol w:w="109"/>
        <w:gridCol w:w="181"/>
        <w:gridCol w:w="646"/>
        <w:gridCol w:w="109"/>
        <w:gridCol w:w="109"/>
        <w:gridCol w:w="109"/>
        <w:gridCol w:w="109"/>
        <w:gridCol w:w="181"/>
        <w:gridCol w:w="766"/>
        <w:gridCol w:w="109"/>
        <w:gridCol w:w="109"/>
        <w:gridCol w:w="109"/>
        <w:gridCol w:w="109"/>
        <w:gridCol w:w="230"/>
        <w:gridCol w:w="726"/>
        <w:gridCol w:w="140"/>
        <w:gridCol w:w="109"/>
        <w:gridCol w:w="109"/>
        <w:gridCol w:w="109"/>
        <w:gridCol w:w="181"/>
        <w:gridCol w:w="766"/>
        <w:gridCol w:w="154"/>
      </w:tblGrid>
      <w:tr>
        <w:trPr/>
        <w:tc>
          <w:tcPr>
            <w:tcW w:w="48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Common</w:t>
              <w:br/>
              <w:t>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Class B</w:t>
              <w:br/>
              <w:t>Common</w:t>
              <w:br/>
              <w:t>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Common</w:t>
              <w:br/>
              <w:t>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Class B</w:t>
              <w:br/>
              <w:t>Common</w:t>
              <w:br/>
              <w:t>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Capital</w:t>
              <w:br/>
              <w:t>Surplus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Retained</w:t>
              <w:br/>
              <w:t>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Accumulated</w:t>
              <w:br/>
              <w:t>Other</w:t>
              <w:br/>
              <w:t>Comprehensive</w:t>
              <w:br/>
              <w:t>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Total</w:t>
              <w:br/>
              <w:t>Equity</w:t>
            </w:r>
          </w:p>
        </w:tc>
      </w:tr>
      <w:tr>
        <w:trPr/>
        <w:tc>
          <w:tcPr>
            <w:tcW w:w="991"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Balance, as of August 31, 2024</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15,000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3,590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4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1,500 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390"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359 </w:t>
            </w:r>
          </w:p>
        </w:tc>
        <w:tc>
          <w:tcPr>
            <w:tcW w:w="11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104,791 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2,025,505 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2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(23,644)</w:t>
            </w:r>
          </w:p>
        </w:tc>
        <w:tc>
          <w:tcPr>
            <w:tcW w:w="140"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2,108,511 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43,105 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43,105 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5"/>
              </w:rPr>
              <w:t xml:space="preserve">Change in fair value of derivatives </w:t>
            </w:r>
            <w:r>
              <w:rPr>
                <w:rFonts w:ascii="Times New Roman;serif" w:hAnsi="Times New Roman;serif"/>
                <w:b w:val="false"/>
                <w:color w:val="000000"/>
                <w:sz w:val="10"/>
              </w:rPr>
              <w:t>(1)</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41 </w:t>
            </w:r>
          </w:p>
        </w:tc>
        <w:tc>
          <w:tcPr>
            <w:tcW w:w="14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41 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Foreign currency translation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(4,936)</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(4,936)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FF0FC" w:val="clear"/>
            <w:tcMar>
              <w:top w:w="0" w:type="dxa"/>
              <w:left w:w="0" w:type="dxa"/>
              <w:bottom w:w="0" w:type="dxa"/>
              <w:right w:w="0" w:type="dxa"/>
            </w:tcMar>
            <w:vAlign w:val="center"/>
          </w:tcPr>
          <w:p>
            <w:pPr>
              <w:pStyle w:val="TableContents"/>
              <w:bidi w:val="0"/>
              <w:spacing w:lineRule="auto" w:line="276" w:before="0" w:after="0"/>
              <w:ind w:left="0" w:right="0" w:hanging="180"/>
              <w:jc w:val="left"/>
              <w:rPr>
                <w:rFonts w:ascii="Times New Roman;serif" w:hAnsi="Times New Roman;serif"/>
                <w:b w:val="false"/>
                <w:color w:val="000000"/>
                <w:sz w:val="15"/>
              </w:rPr>
            </w:pPr>
            <w:r>
              <w:rPr>
                <w:rFonts w:ascii="Times New Roman;serif" w:hAnsi="Times New Roman;serif"/>
                <w:b w:val="false"/>
                <w:color w:val="000000"/>
                <w:sz w:val="15"/>
              </w:rPr>
              <w:t>Dividends declared Common Stock ($0.350 per share)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(5,260)</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(5,260)</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76" w:before="0" w:after="0"/>
              <w:ind w:left="0" w:right="0" w:hanging="180"/>
              <w:jc w:val="left"/>
              <w:rPr>
                <w:rFonts w:ascii="Times New Roman;serif" w:hAnsi="Times New Roman;serif"/>
                <w:b w:val="false"/>
                <w:color w:val="000000"/>
                <w:sz w:val="15"/>
              </w:rPr>
            </w:pPr>
            <w:r>
              <w:rPr>
                <w:rFonts w:ascii="Times New Roman;serif" w:hAnsi="Times New Roman;serif"/>
                <w:b w:val="false"/>
                <w:color w:val="000000"/>
                <w:sz w:val="15"/>
              </w:rPr>
              <w:t>Dividends declared Class B Common Stock ($0.280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(996)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Repurchase of Common Stock</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(34)</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(235)</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(6,135)</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(6,373)</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5"/>
              </w:rPr>
              <w:t xml:space="preserve">Share-based compensation, net </w:t>
            </w:r>
            <w:r>
              <w:rPr>
                <w:rFonts w:ascii="Times New Roman;serif" w:hAnsi="Times New Roman;serif"/>
                <w:b w:val="false"/>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FF0FC"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15"/>
              </w:rPr>
              <w:t xml:space="preserve">Share-based awards exercised, net </w:t>
            </w:r>
            <w:r>
              <w:rPr>
                <w:rFonts w:ascii="Times New Roman;serif" w:hAnsi="Times New Roman;serif"/>
                <w:b w:val="false"/>
                <w:color w:val="000000"/>
                <w:sz w:val="10"/>
              </w:rPr>
              <w:t>(1)</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33</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Shares converted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Balance, as of November 30, 2024</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15,031</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3,558</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4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1,503 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390"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356 </w:t>
            </w:r>
          </w:p>
        </w:tc>
        <w:tc>
          <w:tcPr>
            <w:tcW w:w="11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104,108 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2,056,219 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2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(28,539)</w:t>
            </w:r>
          </w:p>
        </w:tc>
        <w:tc>
          <w:tcPr>
            <w:tcW w:w="140"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2,133,647 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24,459 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24,459 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5"/>
              </w:rPr>
              <w:t xml:space="preserve">Change in fair value of derivatives </w:t>
            </w:r>
            <w:r>
              <w:rPr>
                <w:rFonts w:ascii="Times New Roman;serif" w:hAnsi="Times New Roman;serif"/>
                <w:b w:val="false"/>
                <w:color w:val="000000"/>
                <w:sz w:val="10"/>
              </w:rPr>
              <w:t>(1)</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25 </w:t>
            </w:r>
          </w:p>
        </w:tc>
        <w:tc>
          <w:tcPr>
            <w:tcW w:w="14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25 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Foreign currency translation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(4,438)</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(4,438)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FF0FC" w:val="clear"/>
            <w:tcMar>
              <w:top w:w="0" w:type="dxa"/>
              <w:left w:w="0" w:type="dxa"/>
              <w:bottom w:w="0" w:type="dxa"/>
              <w:right w:w="0" w:type="dxa"/>
            </w:tcMar>
            <w:vAlign w:val="center"/>
          </w:tcPr>
          <w:p>
            <w:pPr>
              <w:pStyle w:val="TableContents"/>
              <w:bidi w:val="0"/>
              <w:spacing w:lineRule="auto" w:line="276" w:before="0" w:after="0"/>
              <w:ind w:left="0" w:right="0" w:hanging="180"/>
              <w:jc w:val="left"/>
              <w:rPr>
                <w:rFonts w:ascii="Times New Roman;serif" w:hAnsi="Times New Roman;serif"/>
                <w:b w:val="false"/>
                <w:color w:val="000000"/>
                <w:sz w:val="15"/>
              </w:rPr>
            </w:pPr>
            <w:r>
              <w:rPr>
                <w:rFonts w:ascii="Times New Roman;serif" w:hAnsi="Times New Roman;serif"/>
                <w:b w:val="false"/>
                <w:color w:val="000000"/>
                <w:sz w:val="15"/>
              </w:rPr>
              <w:t>Dividends declared Common Stock ($0.35 per share)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(5,251)</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(5,251)</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76" w:before="0" w:after="0"/>
              <w:ind w:left="0" w:right="0" w:hanging="180"/>
              <w:jc w:val="left"/>
              <w:rPr>
                <w:rFonts w:ascii="Times New Roman;serif" w:hAnsi="Times New Roman;serif"/>
                <w:b w:val="false"/>
                <w:color w:val="000000"/>
                <w:sz w:val="15"/>
              </w:rPr>
            </w:pPr>
            <w:r>
              <w:rPr>
                <w:rFonts w:ascii="Times New Roman;serif" w:hAnsi="Times New Roman;serif"/>
                <w:b w:val="false"/>
                <w:color w:val="000000"/>
                <w:sz w:val="15"/>
              </w:rPr>
              <w:t>Dividends declared Class B Common Stock ($0.28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(996)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Repurchase of Common Stock</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(33)</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(231)</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(5,921)</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(6,155)</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5"/>
              </w:rPr>
              <w:t xml:space="preserve">Share-based compensation, net </w:t>
            </w:r>
            <w:r>
              <w:rPr>
                <w:rFonts w:ascii="Times New Roman;serif" w:hAnsi="Times New Roman;serif"/>
                <w:b w:val="false"/>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2,264 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5"/>
              </w:rPr>
              <w:t xml:space="preserve">Share-based awards exercised, net </w:t>
            </w:r>
            <w:r>
              <w:rPr>
                <w:rFonts w:ascii="Times New Roman;serif" w:hAnsi="Times New Roman;serif"/>
                <w:b w:val="false"/>
                <w:color w:val="000000"/>
                <w:sz w:val="10"/>
              </w:rPr>
              <w:t>(1)</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Balance, as of March 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15,006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3,558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3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356 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106,141 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2,068,510 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(32,952)</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2,143,556 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income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39,680 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39,680 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5"/>
              </w:rPr>
              <w:t xml:space="preserve">Change in fair value of derivatives </w:t>
            </w:r>
            <w:r>
              <w:rPr>
                <w:rFonts w:ascii="Times New Roman;serif" w:hAnsi="Times New Roman;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(84)</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Foreign currency translation</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8,619 </w:t>
            </w:r>
          </w:p>
        </w:tc>
        <w:tc>
          <w:tcPr>
            <w:tcW w:w="14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8,619 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76" w:before="0" w:after="0"/>
              <w:ind w:left="0" w:right="0" w:hanging="180"/>
              <w:jc w:val="left"/>
              <w:rPr>
                <w:rFonts w:ascii="Times New Roman;serif" w:hAnsi="Times New Roman;serif"/>
                <w:b w:val="false"/>
                <w:color w:val="000000"/>
                <w:sz w:val="15"/>
              </w:rPr>
            </w:pPr>
            <w:r>
              <w:rPr>
                <w:rFonts w:ascii="Times New Roman;serif" w:hAnsi="Times New Roman;serif"/>
                <w:b w:val="false"/>
                <w:color w:val="000000"/>
                <w:sz w:val="15"/>
              </w:rPr>
              <w:t>Dividends declared Common Stock ($0.350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(5,227)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(5,227)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FF0FC" w:val="clear"/>
            <w:tcMar>
              <w:top w:w="0" w:type="dxa"/>
              <w:left w:w="0" w:type="dxa"/>
              <w:bottom w:w="0" w:type="dxa"/>
              <w:right w:w="0" w:type="dxa"/>
            </w:tcMar>
            <w:vAlign w:val="center"/>
          </w:tcPr>
          <w:p>
            <w:pPr>
              <w:pStyle w:val="TableContents"/>
              <w:bidi w:val="0"/>
              <w:spacing w:lineRule="auto" w:line="276" w:before="0" w:after="0"/>
              <w:ind w:left="0" w:right="0" w:hanging="180"/>
              <w:jc w:val="left"/>
              <w:rPr>
                <w:rFonts w:ascii="Times New Roman;serif" w:hAnsi="Times New Roman;serif"/>
                <w:b w:val="false"/>
                <w:color w:val="000000"/>
                <w:sz w:val="15"/>
              </w:rPr>
            </w:pPr>
            <w:r>
              <w:rPr>
                <w:rFonts w:ascii="Times New Roman;serif" w:hAnsi="Times New Roman;serif"/>
                <w:b w:val="false"/>
                <w:color w:val="000000"/>
                <w:sz w:val="15"/>
              </w:rPr>
              <w:t>Dividends declared Class B Common Stock ($0.280 per share)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(995)</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(995)</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Repurchase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(13,095)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(13,634)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5"/>
              </w:rPr>
              <w:t xml:space="preserve">Share-based compensation, net </w:t>
            </w:r>
            <w:r>
              <w:rPr>
                <w:rFonts w:ascii="Times New Roman;serif" w:hAnsi="Times New Roman;serif"/>
                <w:b w:val="false"/>
                <w:color w:val="000000"/>
                <w:sz w:val="10"/>
              </w:rPr>
              <w:t>(2)</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2,876 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2,876 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5"/>
              </w:rPr>
              <w:t xml:space="preserve">Share-based awards exercised, net </w:t>
            </w:r>
            <w:r>
              <w:rPr>
                <w:rFonts w:ascii="Times New Roman;serif" w:hAnsi="Times New Roman;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Shares Converted</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w:t>
            </w:r>
          </w:p>
        </w:tc>
        <w:tc>
          <w:tcPr>
            <w:tcW w:w="1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Balance, as of May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14,936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3,553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4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1,494 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39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355 </w:t>
            </w:r>
          </w:p>
        </w:tc>
        <w:tc>
          <w:tcPr>
            <w:tcW w:w="11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108,486 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2,088,873 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(24,417)</w:t>
            </w:r>
          </w:p>
        </w:tc>
        <w:tc>
          <w:tcPr>
            <w:tcW w:w="14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2,174,791 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6b3ec25769c64ca5a7099a2dcb8d1969_10">
        <w:r>
          <w:rPr>
            <w:rStyle w:val="InternetLink"/>
            <w:rFonts w:ascii="Times New Roman;serif" w:hAnsi="Times New Roman;serif"/>
            <w:b w:val="false"/>
            <w:color w:val="0000FF"/>
            <w:sz w:val="20"/>
            <w:u w:val="single"/>
          </w:rPr>
          <w:t>Table of Contents</w:t>
        </w:r>
      </w:hyperlink>
    </w:p>
    <w:tbl>
      <w:tblPr>
        <w:tblW w:w="10655" w:type="dxa"/>
        <w:jc w:val="left"/>
        <w:tblInd w:w="0" w:type="dxa"/>
        <w:tblLayout w:type="fixed"/>
        <w:tblCellMar>
          <w:top w:w="28" w:type="dxa"/>
          <w:left w:w="28" w:type="dxa"/>
          <w:bottom w:w="28" w:type="dxa"/>
          <w:right w:w="28" w:type="dxa"/>
        </w:tblCellMar>
      </w:tblPr>
      <w:tblGrid>
        <w:gridCol w:w="483"/>
        <w:gridCol w:w="253"/>
        <w:gridCol w:w="255"/>
        <w:gridCol w:w="109"/>
        <w:gridCol w:w="109"/>
        <w:gridCol w:w="109"/>
        <w:gridCol w:w="230"/>
        <w:gridCol w:w="230"/>
        <w:gridCol w:w="231"/>
        <w:gridCol w:w="109"/>
        <w:gridCol w:w="109"/>
        <w:gridCol w:w="109"/>
        <w:gridCol w:w="230"/>
        <w:gridCol w:w="230"/>
        <w:gridCol w:w="231"/>
        <w:gridCol w:w="109"/>
        <w:gridCol w:w="109"/>
        <w:gridCol w:w="109"/>
        <w:gridCol w:w="181"/>
        <w:gridCol w:w="496"/>
        <w:gridCol w:w="109"/>
        <w:gridCol w:w="109"/>
        <w:gridCol w:w="109"/>
        <w:gridCol w:w="109"/>
        <w:gridCol w:w="187"/>
        <w:gridCol w:w="390"/>
        <w:gridCol w:w="114"/>
        <w:gridCol w:w="109"/>
        <w:gridCol w:w="109"/>
        <w:gridCol w:w="109"/>
        <w:gridCol w:w="181"/>
        <w:gridCol w:w="646"/>
        <w:gridCol w:w="109"/>
        <w:gridCol w:w="109"/>
        <w:gridCol w:w="109"/>
        <w:gridCol w:w="109"/>
        <w:gridCol w:w="181"/>
        <w:gridCol w:w="766"/>
        <w:gridCol w:w="109"/>
        <w:gridCol w:w="109"/>
        <w:gridCol w:w="109"/>
        <w:gridCol w:w="109"/>
        <w:gridCol w:w="230"/>
        <w:gridCol w:w="726"/>
        <w:gridCol w:w="140"/>
        <w:gridCol w:w="109"/>
        <w:gridCol w:w="109"/>
        <w:gridCol w:w="109"/>
        <w:gridCol w:w="181"/>
        <w:gridCol w:w="766"/>
        <w:gridCol w:w="154"/>
      </w:tblGrid>
      <w:tr>
        <w:trPr/>
        <w:tc>
          <w:tcPr>
            <w:tcW w:w="48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Common</w:t>
              <w:br/>
              <w:t>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Class B</w:t>
              <w:br/>
              <w:t>Common</w:t>
              <w:br/>
              <w:t>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Common</w:t>
              <w:br/>
              <w:t>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Class B</w:t>
              <w:br/>
              <w:t>Common</w:t>
              <w:br/>
              <w:t>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Capital</w:t>
              <w:br/>
              <w:t>Surplus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Retained</w:t>
              <w:br/>
              <w:t>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Accumulated</w:t>
              <w:br/>
              <w:t>Other</w:t>
              <w:br/>
              <w:t>Comprehensive</w:t>
              <w:br/>
              <w:t>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Total</w:t>
              <w:br/>
              <w:t>Equity</w:t>
            </w:r>
          </w:p>
        </w:tc>
      </w:tr>
      <w:tr>
        <w:trPr/>
        <w:tc>
          <w:tcPr>
            <w:tcW w:w="991"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Balance, as of August 30, 2025</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14,679</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3,551</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4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1,468 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390"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355 </w:t>
            </w:r>
          </w:p>
        </w:tc>
        <w:tc>
          <w:tcPr>
            <w:tcW w:w="11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109,107 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2,079,812 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2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(21,785)</w:t>
            </w:r>
          </w:p>
        </w:tc>
        <w:tc>
          <w:tcPr>
            <w:tcW w:w="140"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2,168,957 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34,363 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34,363 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5"/>
              </w:rPr>
              <w:t xml:space="preserve">Change in fair value of derivatives </w:t>
            </w:r>
            <w:r>
              <w:rPr>
                <w:rFonts w:ascii="Times New Roman;serif" w:hAnsi="Times New Roman;serif"/>
                <w:b w:val="false"/>
                <w:color w:val="000000"/>
                <w:sz w:val="10"/>
              </w:rPr>
              <w:t>(1)</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w:t>
            </w:r>
          </w:p>
        </w:tc>
        <w:tc>
          <w:tcPr>
            <w:tcW w:w="14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Foreign currency translation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(2,105)</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FF0FC"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5"/>
              </w:rPr>
            </w:pPr>
            <w:r>
              <w:rPr>
                <w:rFonts w:ascii="Times New Roman;serif" w:hAnsi="Times New Roman;serif"/>
                <w:b w:val="false"/>
                <w:color w:val="000000"/>
                <w:sz w:val="15"/>
              </w:rPr>
              <w:t>Dividends declared Common Stock ($0.365 per share)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(5,300)</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(5,300)</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5"/>
              </w:rPr>
            </w:pPr>
            <w:r>
              <w:rPr>
                <w:rFonts w:ascii="Times New Roman;serif" w:hAnsi="Times New Roman;serif"/>
                <w:b w:val="false"/>
                <w:color w:val="000000"/>
                <w:sz w:val="15"/>
              </w:rPr>
              <w:t>Dividends declared Class B Common Stock ($0.292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Repurchase of Common Stock</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(194)</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(19)</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(1,443)</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(30,212)</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(31,674)</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5"/>
              </w:rPr>
              <w:t xml:space="preserve">Share-based compensation, net </w:t>
            </w:r>
            <w:r>
              <w:rPr>
                <w:rFonts w:ascii="Times New Roman;serif" w:hAnsi="Times New Roman;serif"/>
                <w:b w:val="false"/>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5"/>
              </w:rPr>
              <w:t xml:space="preserve">Share-based awards exercised, net </w:t>
            </w:r>
            <w:r>
              <w:rPr>
                <w:rFonts w:ascii="Times New Roman;serif" w:hAnsi="Times New Roman;serif"/>
                <w:b w:val="false"/>
                <w:color w:val="000000"/>
                <w:sz w:val="10"/>
              </w:rPr>
              <w:t>(1)</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34</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Balance, as of November 29,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14,519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3,551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3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355 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107,058 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2,077,625 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(23,892)</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2,162,598 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income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20,484 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20,484 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5"/>
              </w:rPr>
              <w:t xml:space="preserve">Change in fair value of derivatives </w:t>
            </w:r>
            <w:r>
              <w:rPr>
                <w:rFonts w:ascii="Times New Roman;serif" w:hAnsi="Times New Roman;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(29)</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Foreign currency translation</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3,881 </w:t>
            </w:r>
          </w:p>
        </w:tc>
        <w:tc>
          <w:tcPr>
            <w:tcW w:w="14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3,881 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5"/>
              </w:rPr>
            </w:pPr>
            <w:r>
              <w:rPr>
                <w:rFonts w:ascii="Times New Roman;serif" w:hAnsi="Times New Roman;serif"/>
                <w:b w:val="false"/>
                <w:color w:val="000000"/>
                <w:sz w:val="15"/>
              </w:rPr>
              <w:t>Dividends declared Common Stock ($0.365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(5,303)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(5,303)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FF0FC"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5"/>
              </w:rPr>
            </w:pPr>
            <w:r>
              <w:rPr>
                <w:rFonts w:ascii="Times New Roman;serif" w:hAnsi="Times New Roman;serif"/>
                <w:b w:val="false"/>
                <w:color w:val="000000"/>
                <w:sz w:val="15"/>
              </w:rPr>
              <w:t>Dividends declared Class B Common Stock ($0.292 per share)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(1,037)</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(1,037)</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5"/>
              </w:rPr>
              <w:t xml:space="preserve">Share-based compensation, net </w:t>
            </w:r>
            <w:r>
              <w:rPr>
                <w:rFonts w:ascii="Times New Roman;serif" w:hAnsi="Times New Roman;serif"/>
                <w:b w:val="false"/>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2,697 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5"/>
              </w:rPr>
              <w:t xml:space="preserve">Share-based awards exercised, net </w:t>
            </w:r>
            <w:r>
              <w:rPr>
                <w:rFonts w:ascii="Times New Roman;serif" w:hAnsi="Times New Roman;serif"/>
                <w:b w:val="false"/>
                <w:color w:val="000000"/>
                <w:sz w:val="10"/>
              </w:rPr>
              <w:t>(1)</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Balance, as of February 28,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14,528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3,551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3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355 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109,755 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2,091,769 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(20,040)</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2,183,292 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income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19,916 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19,916 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5"/>
              </w:rPr>
              <w:t xml:space="preserve">Change in fair value of derivatives </w:t>
            </w:r>
            <w:r>
              <w:rPr>
                <w:rFonts w:ascii="Times New Roman;serif" w:hAnsi="Times New Roman;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Foreign currency translation</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(1,685)</w:t>
            </w:r>
          </w:p>
        </w:tc>
        <w:tc>
          <w:tcPr>
            <w:tcW w:w="14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(1,685)</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5"/>
              </w:rPr>
            </w:pPr>
            <w:r>
              <w:rPr>
                <w:rFonts w:ascii="Times New Roman;serif" w:hAnsi="Times New Roman;serif"/>
                <w:b w:val="false"/>
                <w:color w:val="000000"/>
                <w:sz w:val="15"/>
              </w:rPr>
              <w:t>Dividends declared Common Stock ($0.365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(5,296)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(5,296)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FF0FC"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5"/>
              </w:rPr>
            </w:pPr>
            <w:r>
              <w:rPr>
                <w:rFonts w:ascii="Times New Roman;serif" w:hAnsi="Times New Roman;serif"/>
                <w:b w:val="false"/>
                <w:color w:val="000000"/>
                <w:sz w:val="15"/>
              </w:rPr>
              <w:t>Dividends declared Class B Common Stock ($0.292 per share)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(1,037)</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(1,037)</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5"/>
              </w:rPr>
              <w:t xml:space="preserve">Share-based compensation, net </w:t>
            </w:r>
            <w:r>
              <w:rPr>
                <w:rFonts w:ascii="Times New Roman;serif" w:hAnsi="Times New Roman;serif"/>
                <w:b w:val="false"/>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2,866 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5"/>
              </w:rPr>
              <w:t xml:space="preserve">Share-based awards exercised, net </w:t>
            </w:r>
            <w:r>
              <w:rPr>
                <w:rFonts w:ascii="Times New Roman;serif" w:hAnsi="Times New Roman;serif"/>
                <w:b w:val="false"/>
                <w:color w:val="000000"/>
                <w:sz w:val="10"/>
              </w:rPr>
              <w:t>(1)</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Balance, as of May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14,532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3,551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4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1,453 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39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355 </w:t>
            </w:r>
          </w:p>
        </w:tc>
        <w:tc>
          <w:tcPr>
            <w:tcW w:w="11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112,621 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2,105,352 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(21,736)</w:t>
            </w:r>
          </w:p>
        </w:tc>
        <w:tc>
          <w:tcPr>
            <w:tcW w:w="14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2,198,045 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224"/>
        <w:jc w:val="left"/>
        <w:rPr>
          <w:rFonts w:ascii="Times New Roman;serif" w:hAnsi="Times New Roman;serif"/>
          <w:b w:val="false"/>
          <w:color w:val="000000"/>
          <w:sz w:val="17"/>
        </w:rPr>
      </w:pPr>
      <w:r>
        <w:rPr>
          <w:rFonts w:ascii="Times New Roman;serif" w:hAnsi="Times New Roman;serif"/>
          <w:b w:val="false"/>
          <w:color w:val="000000"/>
          <w:sz w:val="17"/>
        </w:rPr>
        <w:t xml:space="preserve">(1)These amounts are shown net of the effect of income taxes. </w:t>
      </w:r>
    </w:p>
    <w:p>
      <w:pPr>
        <w:pStyle w:val="TextBody"/>
        <w:bidi w:val="0"/>
        <w:spacing w:lineRule="auto" w:line="288" w:before="0" w:after="240"/>
        <w:ind w:left="0" w:right="0" w:hanging="1224"/>
        <w:jc w:val="left"/>
        <w:rPr>
          <w:rFonts w:ascii="Times New Roman;serif" w:hAnsi="Times New Roman;serif"/>
          <w:b w:val="false"/>
          <w:color w:val="000000"/>
          <w:sz w:val="17"/>
        </w:rPr>
      </w:pPr>
      <w:r>
        <w:rPr>
          <w:rFonts w:ascii="Times New Roman;serif" w:hAnsi="Times New Roman;serif"/>
          <w:b w:val="false"/>
          <w:color w:val="000000"/>
          <w:sz w:val="17"/>
        </w:rPr>
        <w:t>(2)These amounts are shown net of any shares withheld by the Company to satisfy certain tax withholding obligations in connection with the vesting of certain restricted stock units.</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6b3ec25769c64ca5a7099a2dcb8d1969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UniFirst Corporation and Subsidiaries</w:t>
      </w:r>
    </w:p>
    <w:p>
      <w:pPr>
        <w:pStyle w:val="TextBody"/>
        <w:bidi w:val="0"/>
        <w:spacing w:lineRule="auto" w:line="288" w:before="0" w:after="24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bl>
      <w:tblPr>
        <w:tblW w:w="8378" w:type="dxa"/>
        <w:jc w:val="center"/>
        <w:tblInd w:w="0" w:type="dxa"/>
        <w:tblLayout w:type="fixed"/>
        <w:tblCellMar>
          <w:top w:w="28" w:type="dxa"/>
          <w:left w:w="28" w:type="dxa"/>
          <w:bottom w:w="28" w:type="dxa"/>
          <w:right w:w="28" w:type="dxa"/>
        </w:tblCellMar>
      </w:tblPr>
      <w:tblGrid>
        <w:gridCol w:w="1974"/>
        <w:gridCol w:w="1740"/>
        <w:gridCol w:w="1746"/>
        <w:gridCol w:w="109"/>
        <w:gridCol w:w="109"/>
        <w:gridCol w:w="109"/>
        <w:gridCol w:w="209"/>
        <w:gridCol w:w="785"/>
        <w:gridCol w:w="116"/>
        <w:gridCol w:w="109"/>
        <w:gridCol w:w="109"/>
        <w:gridCol w:w="109"/>
        <w:gridCol w:w="208"/>
        <w:gridCol w:w="783"/>
        <w:gridCol w:w="163"/>
      </w:tblGrid>
      <w:tr>
        <w:trPr/>
        <w:tc>
          <w:tcPr>
            <w:tcW w:w="1974"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17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color w:val="000000"/>
                <w:sz w:val="16"/>
              </w:rPr>
            </w:pPr>
            <w:r>
              <w:rPr>
                <w:rFonts w:ascii="Times New Roman;serif" w:hAnsi="Times New Roman;serif"/>
                <w:b/>
                <w:color w:val="000000"/>
                <w:sz w:val="16"/>
              </w:rPr>
              <w:t>Thirty-Nine Weeks Ended</w:t>
            </w:r>
          </w:p>
          <w:p>
            <w:pPr>
              <w:pStyle w:val="TableContents"/>
              <w:bidi w:val="0"/>
              <w:spacing w:lineRule="auto" w:line="276" w:before="0" w:after="0"/>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May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May 31, 2025</w:t>
            </w:r>
          </w:p>
        </w:tc>
      </w:tr>
      <w:tr>
        <w:trPr/>
        <w:tc>
          <w:tcPr>
            <w:tcW w:w="5460"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Cash flows from operating activities: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74,763 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107,244 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income to cash provided by operating activities: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16"/>
              </w:rPr>
              <w:t xml:space="preserve">Depreciation and amortization </w:t>
            </w:r>
            <w:r>
              <w:rPr>
                <w:rFonts w:ascii="Times New Roman;serif" w:hAnsi="Times New Roman;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106,338 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104,476 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9,666 </w:t>
            </w:r>
          </w:p>
        </w:tc>
        <w:tc>
          <w:tcPr>
            <w:tcW w:w="11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9,049 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Accretion on environmental contingencies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1,053 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960 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Accretion on asset retirement obligations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804 </w:t>
            </w:r>
          </w:p>
        </w:tc>
        <w:tc>
          <w:tcPr>
            <w:tcW w:w="11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602 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(5,728)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3,514 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Loss (gain) on sale of property and equipment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210 </w:t>
            </w:r>
          </w:p>
        </w:tc>
        <w:tc>
          <w:tcPr>
            <w:tcW w:w="11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(2,690)</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221 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336 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Changes in assets and liabilities, net of acquisitions: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Receivables, less reserves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(10,191)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(3,174)</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Inventories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(2,618)</w:t>
            </w:r>
          </w:p>
        </w:tc>
        <w:tc>
          <w:tcPr>
            <w:tcW w:w="11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8,338 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Rental merchandise in service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(9,657)</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10,018 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current assets and Other assets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(15,710)</w:t>
            </w:r>
          </w:p>
        </w:tc>
        <w:tc>
          <w:tcPr>
            <w:tcW w:w="11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(16,729)</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(5,864)</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(16,668)</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Accrued liabilities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(8,233)</w:t>
            </w:r>
          </w:p>
        </w:tc>
        <w:tc>
          <w:tcPr>
            <w:tcW w:w="11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(12,190)</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Prepaid and accrued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4,296 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3,395 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operating activities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139,350 </w:t>
            </w:r>
          </w:p>
        </w:tc>
        <w:tc>
          <w:tcPr>
            <w:tcW w:w="116"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196,481 </w:t>
            </w:r>
          </w:p>
        </w:tc>
        <w:tc>
          <w:tcPr>
            <w:tcW w:w="163"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Cash flows from investing activities: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of businesses, net of cash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(15,754)</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(5,374)</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Capital expenditures, including capitalization of software costs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(106,965)</w:t>
            </w:r>
          </w:p>
        </w:tc>
        <w:tc>
          <w:tcPr>
            <w:tcW w:w="11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(109,823)</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(5,664)</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(14,734)</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Maturities of investments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5,762 </w:t>
            </w:r>
          </w:p>
        </w:tc>
        <w:tc>
          <w:tcPr>
            <w:tcW w:w="11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28,356 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 of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576 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3,115 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investing activities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(122,045)</w:t>
            </w:r>
          </w:p>
        </w:tc>
        <w:tc>
          <w:tcPr>
            <w:tcW w:w="116"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(98,460)</w:t>
            </w:r>
          </w:p>
        </w:tc>
        <w:tc>
          <w:tcPr>
            <w:tcW w:w="163"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Cash flows from financing activities: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Payment of contingent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(1,670)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exercise of share-based awards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1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Taxes withheld and paid related to net share settlement of equity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(4,709)</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(4,357)</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of Common Stock</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(32,736)</w:t>
            </w:r>
          </w:p>
        </w:tc>
        <w:tc>
          <w:tcPr>
            <w:tcW w:w="11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(25,593)</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Payment of cash 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(18,810)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(18,402)</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financing activities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(57,921)</w:t>
            </w:r>
          </w:p>
        </w:tc>
        <w:tc>
          <w:tcPr>
            <w:tcW w:w="116"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(48,348)</w:t>
            </w:r>
          </w:p>
        </w:tc>
        <w:tc>
          <w:tcPr>
            <w:tcW w:w="163"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Effect of exchange rate changes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340 </w:t>
            </w:r>
          </w:p>
        </w:tc>
        <w:tc>
          <w:tcPr>
            <w:tcW w:w="11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666 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(decrease) increase in cash and cash equivalents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(40,276)</w:t>
            </w:r>
          </w:p>
        </w:tc>
        <w:tc>
          <w:tcPr>
            <w:tcW w:w="11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50,339 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at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203,501 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161,571 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at end of period</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163,225 </w:t>
            </w:r>
          </w:p>
        </w:tc>
        <w:tc>
          <w:tcPr>
            <w:tcW w:w="116"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3"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211,910 </w:t>
            </w:r>
          </w:p>
        </w:tc>
        <w:tc>
          <w:tcPr>
            <w:tcW w:w="163"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Supplemental disclosure of cash flow information:</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Non-cash 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13,476 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11,723 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0"/>
        <w:ind w:left="0" w:right="0" w:hanging="1080"/>
        <w:jc w:val="left"/>
        <w:rPr>
          <w:rFonts w:ascii="Times New Roman;serif" w:hAnsi="Times New Roman;serif"/>
          <w:b w:val="false"/>
          <w:color w:val="000000"/>
          <w:sz w:val="17"/>
        </w:rPr>
      </w:pPr>
      <w:r>
        <w:rPr>
          <w:rFonts w:ascii="Times New Roman;serif" w:hAnsi="Times New Roman;serif"/>
          <w:b w:val="false"/>
          <w:color w:val="000000"/>
          <w:sz w:val="17"/>
        </w:rPr>
        <w:t>(1)Depreciation and amortization for the thirty-nine weeks ended May 30, 2026 and May 31, 2025 included approximately $11.8 million and $12.7 million, respectively, of non-cash amortization expense recognized for acquisition-related intangible assets.</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6b3ec25769c64ca5a7099a2dcb8d1969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UniFirst Corporation and Subsidiaries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1. Summary of Significant Accounting Policies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Basis of Presentation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These Consolidated Financial Statements of UniFirst Corporation (the “Company”) included herein have been prepared, without audit, in accordance with generally accepted accounting principles in the United States (“U.S. GAAP”) and pursuant to the rules and regulations of the Securities and Exchange Commission (the “SEC”). Certain information and footnote disclosures normally included in financial statements prepared in accordance with U.S. GAAP have been condensed or omitted pursuant to such rules and regulations; however, the Company believes that the information furnished reflects all adjustments (consisting only of normal recurring adjustments) which are, in the opinion of management, necessary for a fair statement of results for the interim period.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It is suggested that these Consolidated Financial Statements be read in conjunction with the consolidated financial statements and the notes thereto included in the Company’s Annual Report on Form 10-K for the fiscal year ended August 30, 2025. There have been no material changes in the accounting policies followed by the Company during the current fiscal year. Results for an interim period are not indicative of results for any future interim periods or for an entire fiscal year.</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Merger Agreement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On March 10, 2026, the Company entered into an Agreement and Plan of Merger (the “Merger Agreement”) with Cintas Corporation (“Parent” or “Cintas”), Bruin Merger Sub I, Inc., a wholly owned subsidiary of Cintas (“Merger Sub Inc.”), and Bruin Merger Sub II, LLC, a wholly owned subsidiary of Cintas (“Merger Sub LLC”).</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Subject to the terms and conditions of the Merger Agreement, Merger Sub Inc. will be merged with and into the Company (the “First Merger”), whereupon the separate existence of Merger Sub Inc. will cease, and the Company will continue as the surviving corporation of the First Merger and a wholly owned subsidiary of Parent and immediately after the First Merger, the Company will be merged with and into Merger Sub LLC (the “Second Merger,” and, together with the First Merger, the “Mergers”), whereupon the separate existence of the Company will cease, and Merger Sub LLC will continue as the surviving entity of the Second Merger and a wholly owned subsidiary of Parent.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At the effective time of the First Merger, each share of (i) common stock, par value $0.10 per share, and (ii) Class B common stock, par value $0.10 per share, of the Company (clauses (i) and (ii), “Common Stock”) issued and outstanding immediately prior to the effective time of the First Merger (other than shares of the Company’s Common Stock held in the Company’s treasury or held directly by a subsidiary of the Company, Cintas, Merger Sub Inc. or Merger Sub LLC) will convert into the right to receive: $155.00 in cash and 0.7720 shares of fully paid and nonassessable Cintas common stock. No fractional shares of Cintas common stock will be issued in the Mergers, and holders of the Company’s Common Stock will receive cash in lieu of any fractional shares of Cintas common stock.</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Merger Agreement contains customary representations, warranties, covenants and closing conditions, including approval by the Corporation’s shareholders. On June 11, 2026, the Company’s shareholders approved the Merger Agreement at a virtual special meeting of shareholders. In addition, on June 11, 2026, the Company and Cintas each received a request for additional information and documentary material (a “Second Request”) from the U.S. Federal Trade Commission in connection with its review of the proposed Mergers under the Hart-Scott-Rodino Antitrust Improvements Act of 1976, as amended. Issuance of the Second Request extends the waiting period under the HSR Act until 30 days after both Cintas and the Company substantially comply with the Second Request, unless the waiting period is extended voluntarily by Cintas and the Company or terminated earlier by the FTC. The completion of the Mergers remains subject to the satisfaction or waiver of the remaining customary closing conditions, including the receipt of required regulatory approvals, and includes specified termination rights if the consummation of the Mergers does not occur on or before January 10, 2027, subject to an automatic extension for up to two periods of four months under certain circumstances. The Merger Agreement provides for the payment by the Company to Cintas of a termination fee of $213.3 million if the Merger Agreement is terminated in specified circumstances, and for payment by Cintas to the Company of a termination fee of $350.0 million if the Merger Agreement is terminated in specified circumstances.</w:t>
      </w:r>
    </w:p>
    <w:p>
      <w:pPr>
        <w:pStyle w:val="TextBody"/>
        <w:bidi w:val="0"/>
        <w:spacing w:before="0" w:after="2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6b3ec25769c64ca5a7099a2dcb8d1969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For additional information, refer to the Company’s Current Reports on Form 8-K filed with the SEC on March 11, 2026 and June 12, 2026.</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Recent Accounting Pronouncements</w:t>
      </w:r>
    </w:p>
    <w:p>
      <w:pPr>
        <w:pStyle w:val="TextBody"/>
        <w:bidi w:val="0"/>
        <w:spacing w:lineRule="auto" w:line="288" w:before="0" w:after="240"/>
        <w:jc w:val="left"/>
        <w:rPr/>
      </w:pPr>
      <w:r>
        <w:rPr>
          <w:rFonts w:ascii="Times New Roman;serif" w:hAnsi="Times New Roman;serif"/>
          <w:b w:val="false"/>
          <w:color w:val="000000"/>
          <w:sz w:val="20"/>
        </w:rPr>
        <w:t>In December 2023, the Financial Accounting Standards Board (“FASB”) issued Accounting Standards Update (“ASU”) 2023-09,</w:t>
      </w:r>
      <w:r>
        <w:rPr>
          <w:color w:val="000000"/>
        </w:rPr>
        <w:t xml:space="preserve"> </w:t>
      </w:r>
      <w:r>
        <w:rPr>
          <w:rFonts w:ascii="Times New Roman;serif" w:hAnsi="Times New Roman;serif"/>
          <w:b w:val="false"/>
          <w:i/>
          <w:color w:val="000000"/>
          <w:sz w:val="20"/>
        </w:rPr>
        <w:t>Income Taxes (Topic 740): Improvements to Income Tax Disclosures</w:t>
      </w:r>
      <w:r>
        <w:rPr>
          <w:rFonts w:ascii="Times New Roman;serif" w:hAnsi="Times New Roman;serif"/>
          <w:b w:val="false"/>
          <w:color w:val="000000"/>
          <w:sz w:val="20"/>
        </w:rPr>
        <w:t>, which enhances effective tax rate reconciliation disclosure requirements and provides clarity to the disclosures of income taxes paid, income before taxes and provision for income taxes. The amendments are effective for fiscal years beginning after December 15, 2024. Early adoption is permitted for annual financial statements that have not yet been issued or made available for issuance. The amendments in this update should be applied on a prospective basis. Retrospective application is permitted. The Company has evaluated the provisions of this ASU and does not expect its adoption to have a material impact on the Company's consolidated financial statements other than requiring additional income tax disclosures.</w:t>
      </w:r>
    </w:p>
    <w:p>
      <w:pPr>
        <w:pStyle w:val="TextBody"/>
        <w:bidi w:val="0"/>
        <w:spacing w:lineRule="auto" w:line="288" w:before="0" w:after="240"/>
        <w:jc w:val="left"/>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Income Statement – Reporting Comprehensive Income – Expense Disaggregation Disclosures</w:t>
      </w:r>
      <w:r>
        <w:rPr>
          <w:rFonts w:ascii="Times New Roman;serif" w:hAnsi="Times New Roman;serif"/>
          <w:b w:val="false"/>
          <w:color w:val="000000"/>
          <w:sz w:val="20"/>
        </w:rPr>
        <w:t>. The ASU requires a public business entity to provide disaggregated disclosures of certain categories of expenses on an annual and interim basis including purchases of inventory, employee compensation, depreciation, and intangible asset amortization for each income statement line item that contains those expenses. This ASU is effective for annual reporting periods beginning after December 15, 2026, and interim periods within annual reporting periods beginning after December 15, 2027, with early adoption permitted. The Company is currently evaluating this ASU to determine its impact on the Company’s disclosures.</w:t>
      </w:r>
    </w:p>
    <w:p>
      <w:pPr>
        <w:pStyle w:val="TextBody"/>
        <w:bidi w:val="0"/>
        <w:spacing w:lineRule="auto" w:line="288" w:before="0" w:after="240"/>
        <w:jc w:val="left"/>
        <w:rPr/>
      </w:pPr>
      <w:r>
        <w:rPr>
          <w:rFonts w:ascii="Times New Roman;serif" w:hAnsi="Times New Roman;serif"/>
          <w:b w:val="false"/>
          <w:color w:val="000000"/>
          <w:sz w:val="20"/>
        </w:rPr>
        <w:t xml:space="preserve">In September 2025, the FASB issued ASU 2025-06, </w:t>
      </w:r>
      <w:r>
        <w:rPr>
          <w:rFonts w:ascii="Times New Roman;serif" w:hAnsi="Times New Roman;serif"/>
          <w:b w:val="false"/>
          <w:i/>
          <w:color w:val="000000"/>
          <w:sz w:val="20"/>
        </w:rPr>
        <w:t>Intangibles – Goodwill and Other – Internal-Use Software</w:t>
      </w:r>
      <w:r>
        <w:rPr>
          <w:color w:val="000000"/>
        </w:rPr>
        <w:t xml:space="preserve"> </w:t>
      </w:r>
      <w:r>
        <w:rPr>
          <w:rFonts w:ascii="Times New Roman;serif" w:hAnsi="Times New Roman;serif"/>
          <w:b w:val="false"/>
          <w:color w:val="000000"/>
          <w:sz w:val="20"/>
        </w:rPr>
        <w:t>(S</w:t>
      </w:r>
      <w:r>
        <w:rPr>
          <w:rFonts w:ascii="Times New Roman;serif" w:hAnsi="Times New Roman;serif"/>
          <w:b w:val="false"/>
          <w:i/>
          <w:color w:val="000000"/>
          <w:sz w:val="20"/>
        </w:rPr>
        <w:t>ubtopic 350-40): Targeted Improvements to the Accounting for Internal-Use Software</w:t>
      </w:r>
      <w:r>
        <w:rPr>
          <w:rFonts w:ascii="Times New Roman;serif" w:hAnsi="Times New Roman;serif"/>
          <w:b w:val="false"/>
          <w:color w:val="000000"/>
          <w:sz w:val="20"/>
        </w:rPr>
        <w:t>. This ASU amends the guidance in ASC 350-40 to modernize the recognition and disclosure framework for internal-use software costs by eliminating the previous “development stage” model and introducing a more principles- and judgment-based approach. ASU 2025-06 is effective for fiscal years beginning after December 15, 2027 and for interim periods within those fiscal years. Early adoption is permitted. The Company is currently evaluating the impact of ASU 2025-06 on its consolidated financial statements.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Other recent accounting pronouncements issued by the FASB, including its Emerging Issues Task Force, the American Institute of Certified Public Accountants, and the SEC have not had, or are not believed by management to have, a material impact on the Company’s present or future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2. Revenue Recognition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revenues for the thirteen and thirty-nine weeks ended May 30, 2026 and May 31, 2025, respectively, disaggregated by segment:</w:t>
      </w:r>
    </w:p>
    <w:tbl>
      <w:tblPr>
        <w:tblW w:w="10205" w:type="dxa"/>
        <w:jc w:val="left"/>
        <w:tblInd w:w="0" w:type="dxa"/>
        <w:tblLayout w:type="fixed"/>
        <w:tblCellMar>
          <w:top w:w="28" w:type="dxa"/>
          <w:left w:w="28" w:type="dxa"/>
          <w:bottom w:w="28" w:type="dxa"/>
          <w:right w:w="28" w:type="dxa"/>
        </w:tblCellMar>
      </w:tblPr>
      <w:tblGrid>
        <w:gridCol w:w="352"/>
        <w:gridCol w:w="310"/>
        <w:gridCol w:w="311"/>
        <w:gridCol w:w="181"/>
        <w:gridCol w:w="616"/>
        <w:gridCol w:w="109"/>
        <w:gridCol w:w="109"/>
        <w:gridCol w:w="109"/>
        <w:gridCol w:w="109"/>
        <w:gridCol w:w="217"/>
        <w:gridCol w:w="219"/>
        <w:gridCol w:w="327"/>
        <w:gridCol w:w="109"/>
        <w:gridCol w:w="109"/>
        <w:gridCol w:w="109"/>
        <w:gridCol w:w="181"/>
        <w:gridCol w:w="616"/>
        <w:gridCol w:w="109"/>
        <w:gridCol w:w="109"/>
        <w:gridCol w:w="109"/>
        <w:gridCol w:w="109"/>
        <w:gridCol w:w="217"/>
        <w:gridCol w:w="219"/>
        <w:gridCol w:w="327"/>
        <w:gridCol w:w="109"/>
        <w:gridCol w:w="109"/>
        <w:gridCol w:w="109"/>
        <w:gridCol w:w="181"/>
        <w:gridCol w:w="721"/>
        <w:gridCol w:w="109"/>
        <w:gridCol w:w="109"/>
        <w:gridCol w:w="109"/>
        <w:gridCol w:w="109"/>
        <w:gridCol w:w="217"/>
        <w:gridCol w:w="219"/>
        <w:gridCol w:w="327"/>
        <w:gridCol w:w="109"/>
        <w:gridCol w:w="109"/>
        <w:gridCol w:w="109"/>
        <w:gridCol w:w="181"/>
        <w:gridCol w:w="721"/>
        <w:gridCol w:w="109"/>
        <w:gridCol w:w="109"/>
        <w:gridCol w:w="109"/>
        <w:gridCol w:w="109"/>
        <w:gridCol w:w="217"/>
        <w:gridCol w:w="219"/>
        <w:gridCol w:w="384"/>
      </w:tblGrid>
      <w:tr>
        <w:trPr/>
        <w:tc>
          <w:tcPr>
            <w:tcW w:w="352"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r>
      <w:tr>
        <w:trPr/>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Thirty-Nine Weeks Ended</w:t>
            </w:r>
          </w:p>
        </w:tc>
      </w:tr>
      <w:tr>
        <w:trPr/>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May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May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May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May 31, 2025</w:t>
            </w:r>
          </w:p>
        </w:tc>
      </w:tr>
      <w:tr>
        <w:trPr/>
        <w:tc>
          <w:tcPr>
            <w:tcW w:w="9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(In thousands, except percentages)</w:t>
            </w:r>
          </w:p>
        </w:tc>
        <w:tc>
          <w:tcPr>
            <w:tcW w:w="9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Revenues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of</w:t>
              <w:br/>
              <w:t>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Revenues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of</w:t>
              <w:br/>
              <w:t>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Revenues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of</w:t>
              <w:br/>
              <w:t>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Revenues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of</w:t>
              <w:br/>
              <w:t>Revenues</w:t>
            </w:r>
          </w:p>
        </w:tc>
      </w:tr>
      <w:tr>
        <w:trPr/>
        <w:tc>
          <w:tcPr>
            <w:tcW w:w="973"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Uniform &amp; Facility Service Solutions</w:t>
            </w:r>
          </w:p>
        </w:tc>
        <w:tc>
          <w:tcPr>
            <w:tcW w:w="18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575,747 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90.7</w:t>
            </w:r>
          </w:p>
        </w:tc>
        <w:tc>
          <w:tcPr>
            <w:tcW w:w="32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554,331 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90.7</w:t>
            </w:r>
          </w:p>
        </w:tc>
        <w:tc>
          <w:tcPr>
            <w:tcW w:w="32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1,710,447 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91.1</w:t>
            </w:r>
          </w:p>
        </w:tc>
        <w:tc>
          <w:tcPr>
            <w:tcW w:w="32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1,658,490 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91.2</w:t>
            </w:r>
          </w:p>
        </w:tc>
        <w:tc>
          <w:tcPr>
            <w:tcW w:w="384"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9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First Aid &amp; Safety Solutions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w:t>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w:t>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91,846 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w:t>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83,463 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w:t>
            </w:r>
          </w:p>
        </w:tc>
        <w:tc>
          <w:tcPr>
            <w:tcW w:w="3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973"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Other</w:t>
            </w:r>
          </w:p>
        </w:tc>
        <w:tc>
          <w:tcPr>
            <w:tcW w:w="79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27,846 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w:t>
            </w:r>
          </w:p>
        </w:tc>
        <w:tc>
          <w:tcPr>
            <w:tcW w:w="327"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26,660 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w:t>
            </w:r>
          </w:p>
        </w:tc>
        <w:tc>
          <w:tcPr>
            <w:tcW w:w="327"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75,932 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w:t>
            </w:r>
          </w:p>
        </w:tc>
        <w:tc>
          <w:tcPr>
            <w:tcW w:w="327"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75,952 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w:t>
            </w:r>
          </w:p>
        </w:tc>
        <w:tc>
          <w:tcPr>
            <w:tcW w:w="384"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9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Total revenues</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634,402 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100.0</w:t>
            </w:r>
          </w:p>
        </w:tc>
        <w:tc>
          <w:tcPr>
            <w:tcW w:w="3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610,778 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100.0</w:t>
            </w:r>
          </w:p>
        </w:tc>
        <w:tc>
          <w:tcPr>
            <w:tcW w:w="3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1,878,225 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100.0</w:t>
            </w:r>
          </w:p>
        </w:tc>
        <w:tc>
          <w:tcPr>
            <w:tcW w:w="3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1,817,905 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100.0</w:t>
            </w:r>
          </w:p>
        </w:tc>
        <w:tc>
          <w:tcPr>
            <w:tcW w:w="3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r>
    </w:tbl>
    <w:p>
      <w:pPr>
        <w:pStyle w:val="TextBody"/>
        <w:bidi w:val="0"/>
        <w:spacing w:lineRule="auto" w:line="288" w:before="0" w:after="240"/>
        <w:jc w:val="left"/>
        <w:rPr/>
      </w:pPr>
      <w:r>
        <w:rPr>
          <w:rFonts w:ascii="Times New Roman;serif" w:hAnsi="Times New Roman;serif"/>
          <w:b w:val="false"/>
          <w:color w:val="000000"/>
          <w:sz w:val="20"/>
        </w:rPr>
        <w:t>See Note 13, “</w:t>
      </w:r>
      <w:hyperlink w:anchor="i6b3ec25769c64ca5a7099a2dcb8d1969_34">
        <w:r>
          <w:rPr>
            <w:rStyle w:val="InternetLink"/>
            <w:rFonts w:ascii="Times New Roman;serif" w:hAnsi="Times New Roman;serif"/>
            <w:b w:val="false"/>
            <w:color w:val="0000FF"/>
            <w:sz w:val="20"/>
            <w:u w:val="single"/>
          </w:rPr>
          <w:t>Segment Reporting</w:t>
        </w:r>
      </w:hyperlink>
      <w:r>
        <w:rPr>
          <w:color w:val="000000"/>
        </w:rPr>
        <w:t xml:space="preserve">” </w:t>
      </w:r>
      <w:r>
        <w:rPr>
          <w:rFonts w:ascii="Times New Roman;serif" w:hAnsi="Times New Roman;serif"/>
          <w:b w:val="false"/>
          <w:color w:val="000000"/>
          <w:sz w:val="20"/>
        </w:rPr>
        <w:t>for additional details of segment definitions.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change in the allowance for credit losses, which is included in Receivables, net of reserves on the Consolidated Balance Sheets for the thirty-nine weeks ended May 30, 2026 (in thousands):</w:t>
      </w:r>
    </w:p>
    <w:tbl>
      <w:tblPr>
        <w:tblW w:w="3575" w:type="dxa"/>
        <w:jc w:val="center"/>
        <w:tblInd w:w="0" w:type="dxa"/>
        <w:tblLayout w:type="fixed"/>
        <w:tblCellMar>
          <w:top w:w="28" w:type="dxa"/>
          <w:left w:w="28" w:type="dxa"/>
          <w:bottom w:w="28" w:type="dxa"/>
          <w:right w:w="28" w:type="dxa"/>
        </w:tblCellMar>
      </w:tblPr>
      <w:tblGrid>
        <w:gridCol w:w="940"/>
        <w:gridCol w:w="824"/>
        <w:gridCol w:w="830"/>
        <w:gridCol w:w="211"/>
        <w:gridCol w:w="616"/>
        <w:gridCol w:w="154"/>
      </w:tblGrid>
      <w:tr>
        <w:trPr/>
        <w:tc>
          <w:tcPr>
            <w:tcW w:w="940"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August 30, 2025</w:t>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6,802 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period provision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Write-offs and other</w:t>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(7,142)</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May 30, 2026</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7,185 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6b3ec25769c64ca5a7099a2dcb8d1969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Costs to Obtain a Contract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deferred commissions on the Company’s Consolidated Balance Sheets as of May 30, 2026 and August 30, 2025:</w:t>
      </w:r>
    </w:p>
    <w:tbl>
      <w:tblPr>
        <w:tblW w:w="6547" w:type="dxa"/>
        <w:jc w:val="center"/>
        <w:tblInd w:w="0" w:type="dxa"/>
        <w:tblLayout w:type="fixed"/>
        <w:tblCellMar>
          <w:top w:w="28" w:type="dxa"/>
          <w:left w:w="28" w:type="dxa"/>
          <w:bottom w:w="28" w:type="dxa"/>
          <w:right w:w="28" w:type="dxa"/>
        </w:tblCellMar>
      </w:tblPr>
      <w:tblGrid>
        <w:gridCol w:w="1248"/>
        <w:gridCol w:w="1099"/>
        <w:gridCol w:w="1102"/>
        <w:gridCol w:w="109"/>
        <w:gridCol w:w="109"/>
        <w:gridCol w:w="109"/>
        <w:gridCol w:w="225"/>
        <w:gridCol w:w="769"/>
        <w:gridCol w:w="116"/>
        <w:gridCol w:w="109"/>
        <w:gridCol w:w="109"/>
        <w:gridCol w:w="109"/>
        <w:gridCol w:w="259"/>
        <w:gridCol w:w="886"/>
        <w:gridCol w:w="189"/>
      </w:tblGrid>
      <w:tr>
        <w:trPr/>
        <w:tc>
          <w:tcPr>
            <w:tcW w:w="1248"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May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August 30, 2025</w:t>
            </w:r>
          </w:p>
        </w:tc>
      </w:tr>
      <w:tr>
        <w:trPr/>
        <w:tc>
          <w:tcPr>
            <w:tcW w:w="3449"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21,155 </w:t>
            </w:r>
          </w:p>
        </w:tc>
        <w:tc>
          <w:tcPr>
            <w:tcW w:w="116"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19,795 </w:t>
            </w:r>
          </w:p>
        </w:tc>
        <w:tc>
          <w:tcPr>
            <w:tcW w:w="18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89,618 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84,884 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amortization expense related to deferred commissions on the Consolidated Statements of Income for the thirteen and thirty-nine weeks ended May 30, 2026 and May 31, 2025, respectively:</w:t>
      </w:r>
    </w:p>
    <w:tbl>
      <w:tblPr>
        <w:tblW w:w="8836" w:type="dxa"/>
        <w:jc w:val="center"/>
        <w:tblInd w:w="0" w:type="dxa"/>
        <w:tblLayout w:type="fixed"/>
        <w:tblCellMar>
          <w:top w:w="28" w:type="dxa"/>
          <w:left w:w="28" w:type="dxa"/>
          <w:bottom w:w="28" w:type="dxa"/>
          <w:right w:w="28" w:type="dxa"/>
        </w:tblCellMar>
      </w:tblPr>
      <w:tblGrid>
        <w:gridCol w:w="1099"/>
        <w:gridCol w:w="969"/>
        <w:gridCol w:w="976"/>
        <w:gridCol w:w="109"/>
        <w:gridCol w:w="109"/>
        <w:gridCol w:w="109"/>
        <w:gridCol w:w="250"/>
        <w:gridCol w:w="731"/>
        <w:gridCol w:w="129"/>
        <w:gridCol w:w="109"/>
        <w:gridCol w:w="109"/>
        <w:gridCol w:w="109"/>
        <w:gridCol w:w="250"/>
        <w:gridCol w:w="731"/>
        <w:gridCol w:w="129"/>
        <w:gridCol w:w="109"/>
        <w:gridCol w:w="109"/>
        <w:gridCol w:w="109"/>
        <w:gridCol w:w="225"/>
        <w:gridCol w:w="769"/>
        <w:gridCol w:w="116"/>
        <w:gridCol w:w="109"/>
        <w:gridCol w:w="109"/>
        <w:gridCol w:w="109"/>
        <w:gridCol w:w="224"/>
        <w:gridCol w:w="767"/>
        <w:gridCol w:w="163"/>
      </w:tblGrid>
      <w:tr>
        <w:trPr/>
        <w:tc>
          <w:tcPr>
            <w:tcW w:w="1099"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Thirty-Nine Weeks Ended</w:t>
            </w:r>
          </w:p>
        </w:tc>
      </w:tr>
      <w:tr>
        <w:trPr/>
        <w:tc>
          <w:tcPr>
            <w:tcW w:w="30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May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May 31, 2025</w:t>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May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May 31, 2025</w:t>
            </w:r>
          </w:p>
        </w:tc>
      </w:tr>
      <w:tr>
        <w:trPr/>
        <w:tc>
          <w:tcPr>
            <w:tcW w:w="3044"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administrative expenses</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5,415 </w:t>
            </w:r>
          </w:p>
        </w:tc>
        <w:tc>
          <w:tcPr>
            <w:tcW w:w="12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4,961 </w:t>
            </w:r>
          </w:p>
        </w:tc>
        <w:tc>
          <w:tcPr>
            <w:tcW w:w="12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15,895 </w:t>
            </w:r>
          </w:p>
        </w:tc>
        <w:tc>
          <w:tcPr>
            <w:tcW w:w="116"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14,589 </w:t>
            </w:r>
          </w:p>
        </w:tc>
        <w:tc>
          <w:tcPr>
            <w:tcW w:w="163"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3. Acquisitions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During the thirteen weeks ended May 30, 2026, the Company incurred approximately $20.7 million of Transaction-related Costs (as defined below) associated with the proposed merger with Cintas. These costs consisted primarily of legal, advisory and other professional service fees (“Transaction-related Costs”) and are included within selling and administrative expenses in the Consolidated Statements of Income.</w:t>
      </w:r>
    </w:p>
    <w:p>
      <w:pPr>
        <w:pStyle w:val="TextBody"/>
        <w:bidi w:val="0"/>
        <w:spacing w:lineRule="auto" w:line="288" w:before="0" w:after="240"/>
        <w:jc w:val="left"/>
        <w:rPr/>
      </w:pPr>
      <w:r>
        <w:rPr>
          <w:rFonts w:ascii="Times New Roman;serif" w:hAnsi="Times New Roman;serif"/>
          <w:b w:val="false"/>
          <w:color w:val="000000"/>
          <w:sz w:val="20"/>
        </w:rPr>
        <w:t>During the thirty-nine weeks ended May 30, 2026, the Company completed one acquisition in the Uniform &amp; Facility Service Solutions segment, six acquisitions in the First Aid &amp; Safety Solutions segment and one acquisition in the Other segment, for total purchase prices of approximately $0.8 million</w:t>
      </w:r>
      <w:r>
        <w:rPr>
          <w:rFonts w:ascii="Arial;sans-serif" w:hAnsi="Arial;sans-serif"/>
          <w:b w:val="false"/>
          <w:color w:val="000000"/>
          <w:sz w:val="24"/>
        </w:rPr>
        <w:t>,</w:t>
      </w:r>
      <w:r>
        <w:rPr>
          <w:color w:val="000000"/>
        </w:rPr>
        <w:t xml:space="preserve"> </w:t>
      </w:r>
      <w:r>
        <w:rPr>
          <w:rFonts w:ascii="Times New Roman;serif" w:hAnsi="Times New Roman;serif"/>
          <w:b w:val="false"/>
          <w:color w:val="000000"/>
          <w:sz w:val="20"/>
        </w:rPr>
        <w:t>$16.0 million and $0.9 million, respectively.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has prepared purchase price allocations for the business combinations on a preliminary basis. The purchase price was primarily allocated to goodwill and intangible assets, with tangible assets consisting mainly of inventory and property, plant and equipment. A portion of the total purchase price is subject to holdback arrangements, which are typically payable within a one-year period following the acquisition date and contingent upon the achievement of specified revenue targets. The operating results of these businesses have been included in the Company’s consolidated financial statements from their respective acquisition dates. As these acquisitions were not material to the Company’s consolidated results, pro forma financial information has not been presented.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aggregate information relating to the acquisition of businesses during the thirty-nine weeks ended May 30, 2026 (in thousands):</w:t>
      </w:r>
    </w:p>
    <w:tbl>
      <w:tblPr>
        <w:tblW w:w="7540" w:type="dxa"/>
        <w:jc w:val="left"/>
        <w:tblInd w:w="0" w:type="dxa"/>
        <w:tblLayout w:type="fixed"/>
        <w:tblCellMar>
          <w:top w:w="28" w:type="dxa"/>
          <w:left w:w="28" w:type="dxa"/>
          <w:bottom w:w="28" w:type="dxa"/>
          <w:right w:w="28" w:type="dxa"/>
        </w:tblCellMar>
      </w:tblPr>
      <w:tblGrid>
        <w:gridCol w:w="2191"/>
        <w:gridCol w:w="1931"/>
        <w:gridCol w:w="1937"/>
        <w:gridCol w:w="109"/>
        <w:gridCol w:w="109"/>
        <w:gridCol w:w="109"/>
        <w:gridCol w:w="224"/>
        <w:gridCol w:w="767"/>
        <w:gridCol w:w="163"/>
      </w:tblGrid>
      <w:tr>
        <w:trPr/>
        <w:tc>
          <w:tcPr>
            <w:tcW w:w="2191" w:type="dxa"/>
            <w:tcBorders/>
            <w:vAlign w:val="center"/>
          </w:tcPr>
          <w:p>
            <w:pPr>
              <w:pStyle w:val="TableContents"/>
              <w:bidi w:val="0"/>
              <w:spacing w:before="0" w:after="283"/>
              <w:jc w:val="left"/>
              <w:rPr>
                <w:sz w:val="4"/>
                <w:szCs w:val="4"/>
              </w:rPr>
            </w:pPr>
            <w:r>
              <w:rPr>
                <w:sz w:val="4"/>
                <w:szCs w:val="4"/>
              </w:rPr>
            </w:r>
          </w:p>
        </w:tc>
        <w:tc>
          <w:tcPr>
            <w:tcW w:w="1931" w:type="dxa"/>
            <w:tcBorders/>
            <w:vAlign w:val="center"/>
          </w:tcPr>
          <w:p>
            <w:pPr>
              <w:pStyle w:val="TableContents"/>
              <w:bidi w:val="0"/>
              <w:spacing w:before="0" w:after="283"/>
              <w:jc w:val="left"/>
              <w:rPr>
                <w:sz w:val="4"/>
                <w:szCs w:val="4"/>
              </w:rPr>
            </w:pPr>
            <w:r>
              <w:rPr>
                <w:sz w:val="4"/>
                <w:szCs w:val="4"/>
              </w:rPr>
            </w:r>
          </w:p>
        </w:tc>
        <w:tc>
          <w:tcPr>
            <w:tcW w:w="19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Thirty-Nine Weeks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May 30, 2026</w:t>
            </w:r>
          </w:p>
        </w:tc>
      </w:tr>
      <w:tr>
        <w:trPr/>
        <w:tc>
          <w:tcPr>
            <w:tcW w:w="6059"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163"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Tangible assets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1,600 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12,160 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3,797 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intangibles assets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assumed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(303)</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consideration paid for acquisition of businesses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17,792 </w:t>
            </w:r>
          </w:p>
        </w:tc>
        <w:tc>
          <w:tcPr>
            <w:tcW w:w="163"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(1,854)</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holdbacks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(406)</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businesses, net of contingent consideration and holdbacks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15,532 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6b3ec25769c64ca5a7099a2dcb8d1969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4. Employee Benefit Plans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Defined Contribution Retirement Savings Plan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has a defined contribution retirement savings plan with a 401(k) feature for all eligible U.S. and Canadian employees not under collective bargaining agreements. The Company matches a portion of the employee’s contribution and may make an additional contribution at its discretion. Contributions charged to expense under the plan for the thirteen weeks ended May 30, 2026 and May 31, 2025 were $4.1 million and $3.9 million, respectively. Contributions charged to expense under the plan for the thirty-nine weeks ended May 30, 2026 and May 31, 2025 were $12.4 million and $11.7 million, respectively.</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Pension Plan and Supplemental Executive Retirement Plan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accounts for its pension plan and Supplemental Executive Retirement Plan on an accrual basis over certain employees’ estimated service periods.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maintains an unfunded Supplemental Executive Retirement Plan for certain eligible employees of the Company and one frozen non-contributory defined benefit pension plan. The amounts charged to expense related to these plans for the thirteen weeks ended May 30, 2026 and May 31, 2025 were $0.3 million and $0.4 million, respectively. The amounts charged to expense related to these plans for the thirty-nine weeks ended May 30, 2026 and May 31, 2025 were $1.0 million and $1.3 million, respectively.</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Non-qualified Deferred Compensation Plan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adopted the UniFirst Corporation Deferred Compensation Plan (the “NQDC Plan”) effective on February 1, 2022. The NQDC Plan is an unfunded, non-qualified deferred compensation plan that allows eligible participants to voluntarily defer receipt of their salary and annual cash bonuses up to approved limits. In its discretion, the Company may credit one or more additional contributions to participant accounts. NQDC Plan participants who are not accruing benefits under the Supplemental Executive Retirement Plan are eligible to have discretionary annual employer contributions credited to their NQDC Plan accounts. All participants are also eligible to have employer supplemental contributions and employer discretionary contributions credited to their NQDC Plan accounts. The amounts of such contributions, if any, may differ from year to year and from participant to participant.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amounts for employee or employer contributions charged to expense related to the NQDC Plan for the thirteen and thirty-nine weeks ended May 30, 2026 were $0.4 million and $1.0 million, respectively. The amounts for employee or employer contributions charged to expense related to the NQDC plan for the thirteen and thirty-nine weeks ended May 31, 2025 were $0.3 million and $0.7 million, respectively.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at its discretion, may also elect to transfer funds to a trust account with the intention to fund the future liability. Total NQDC Plan assets were $5.7 million and $4.7 million as of May 30, 2026 and August 30, 2025, respectively, and are included within other long-term assets in the accompanying Consolidated Balance Sheets. Total NQDC Plan liabilities were $3.5 million and $2.8 million as of May 30, 2026 and August 30, 2025, respectively, and are included within current accrued liabilities in the accompanying Consolidated Balance Sheets.</w:t>
      </w:r>
    </w:p>
    <w:p>
      <w:pPr>
        <w:pStyle w:val="TextBody"/>
        <w:bidi w:val="0"/>
        <w:spacing w:lineRule="auto" w:line="288" w:before="0" w:after="240"/>
        <w:jc w:val="left"/>
        <w:rPr/>
      </w:pPr>
      <w:r>
        <w:rPr>
          <w:rFonts w:ascii="Times New Roman;serif" w:hAnsi="Times New Roman;serif"/>
          <w:b w:val="false"/>
          <w:color w:val="000000"/>
          <w:sz w:val="20"/>
        </w:rPr>
        <w:t>Earnings and losses on contributions, based on investment elections, are recorded as a component of compensation expense in the period earned and are included within other (income) expense, net. For the thirteen and thirty-nine weeks</w:t>
      </w:r>
      <w:r>
        <w:rPr>
          <w:color w:val="000000"/>
        </w:rPr>
        <w:t xml:space="preserve"> </w:t>
      </w:r>
      <w:r>
        <w:rPr>
          <w:rFonts w:ascii="Times New Roman;serif" w:hAnsi="Times New Roman;serif"/>
          <w:b w:val="false"/>
          <w:color w:val="000000"/>
          <w:sz w:val="20"/>
        </w:rPr>
        <w:t>ended May 30, 2026, other (income) expense, net reflected income of $0.3 million and $0.5 million, respectively. For the thirteen and thirty-nine weeks ended May 31, 2025, other (income) expense, net reflected income of $0.1 million and $0.2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5. Income Per Share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calculates income per share by allocating income to its unvested participating securities as part of its income per share calculations. The following table sets forth the computation of basic income per share using the two-class method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6b3ec25769c64ca5a7099a2dcb8d1969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for amounts attributable to the Company’s shares of Common Stock and Class B Common Stock (in thousands, except per share data): </w:t>
      </w:r>
    </w:p>
    <w:tbl>
      <w:tblPr>
        <w:tblW w:w="9536" w:type="dxa"/>
        <w:jc w:val="center"/>
        <w:tblInd w:w="0" w:type="dxa"/>
        <w:tblLayout w:type="fixed"/>
        <w:tblCellMar>
          <w:top w:w="28" w:type="dxa"/>
          <w:left w:w="28" w:type="dxa"/>
          <w:bottom w:w="28" w:type="dxa"/>
          <w:right w:w="28" w:type="dxa"/>
        </w:tblCellMar>
      </w:tblPr>
      <w:tblGrid>
        <w:gridCol w:w="1460"/>
        <w:gridCol w:w="1283"/>
        <w:gridCol w:w="1291"/>
        <w:gridCol w:w="225"/>
        <w:gridCol w:w="769"/>
        <w:gridCol w:w="116"/>
        <w:gridCol w:w="109"/>
        <w:gridCol w:w="109"/>
        <w:gridCol w:w="109"/>
        <w:gridCol w:w="225"/>
        <w:gridCol w:w="769"/>
        <w:gridCol w:w="116"/>
        <w:gridCol w:w="109"/>
        <w:gridCol w:w="109"/>
        <w:gridCol w:w="109"/>
        <w:gridCol w:w="225"/>
        <w:gridCol w:w="769"/>
        <w:gridCol w:w="116"/>
        <w:gridCol w:w="109"/>
        <w:gridCol w:w="109"/>
        <w:gridCol w:w="109"/>
        <w:gridCol w:w="211"/>
        <w:gridCol w:w="826"/>
        <w:gridCol w:w="154"/>
      </w:tblGrid>
      <w:tr>
        <w:trPr/>
        <w:tc>
          <w:tcPr>
            <w:tcW w:w="1460"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8"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Thirty-Nine Weeks Ended</w:t>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May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May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May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May 31, 2025</w:t>
            </w:r>
          </w:p>
        </w:tc>
      </w:tr>
      <w:tr>
        <w:trPr/>
        <w:tc>
          <w:tcPr>
            <w:tcW w:w="403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available to shareholders</w:t>
            </w:r>
          </w:p>
        </w:tc>
        <w:tc>
          <w:tcPr>
            <w:tcW w:w="225"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19,916 </w:t>
            </w:r>
          </w:p>
        </w:tc>
        <w:tc>
          <w:tcPr>
            <w:tcW w:w="116"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39,680 </w:t>
            </w:r>
          </w:p>
        </w:tc>
        <w:tc>
          <w:tcPr>
            <w:tcW w:w="116"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74,763 </w:t>
            </w:r>
          </w:p>
        </w:tc>
        <w:tc>
          <w:tcPr>
            <w:tcW w:w="116"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107,244 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Allocation of net income for Basic:</w:t>
            </w:r>
          </w:p>
        </w:tc>
        <w:tc>
          <w:tcPr>
            <w:tcW w:w="11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225"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16,659 </w:t>
            </w:r>
          </w:p>
        </w:tc>
        <w:tc>
          <w:tcPr>
            <w:tcW w:w="11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33,346 </w:t>
            </w:r>
          </w:p>
        </w:tc>
        <w:tc>
          <w:tcPr>
            <w:tcW w:w="11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62,545 </w:t>
            </w:r>
          </w:p>
        </w:tc>
        <w:tc>
          <w:tcPr>
            <w:tcW w:w="11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90,126 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Class B Common Stock</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3,257 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6,334 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12,218 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17,118 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19,916 </w:t>
            </w:r>
          </w:p>
        </w:tc>
        <w:tc>
          <w:tcPr>
            <w:tcW w:w="116"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39,680 </w:t>
            </w:r>
          </w:p>
        </w:tc>
        <w:tc>
          <w:tcPr>
            <w:tcW w:w="116"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74,763 </w:t>
            </w:r>
          </w:p>
        </w:tc>
        <w:tc>
          <w:tcPr>
            <w:tcW w:w="116"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107,244 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Weighted average number of shares for Basic:</w:t>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99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14,532 </w:t>
            </w:r>
          </w:p>
        </w:tc>
        <w:tc>
          <w:tcPr>
            <w:tcW w:w="11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14,990 </w:t>
            </w:r>
          </w:p>
        </w:tc>
        <w:tc>
          <w:tcPr>
            <w:tcW w:w="11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14,549 </w:t>
            </w:r>
          </w:p>
        </w:tc>
        <w:tc>
          <w:tcPr>
            <w:tcW w:w="11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15,007 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Class B Common Stock</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3,551 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3,557 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3,551 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18,083 </w:t>
            </w:r>
          </w:p>
        </w:tc>
        <w:tc>
          <w:tcPr>
            <w:tcW w:w="116"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18,547 </w:t>
            </w:r>
          </w:p>
        </w:tc>
        <w:tc>
          <w:tcPr>
            <w:tcW w:w="116"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18,100 </w:t>
            </w:r>
          </w:p>
        </w:tc>
        <w:tc>
          <w:tcPr>
            <w:tcW w:w="116"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18,570 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Income per share for Basic:</w:t>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225"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1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11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4.30 </w:t>
            </w:r>
          </w:p>
        </w:tc>
        <w:tc>
          <w:tcPr>
            <w:tcW w:w="11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6.01 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Class B Common Stock</w:t>
            </w:r>
          </w:p>
        </w:tc>
        <w:tc>
          <w:tcPr>
            <w:tcW w:w="22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0.92 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is required to calculate diluted income per share for Common Stock using the more dilutive of the following two methods:</w:t>
      </w:r>
    </w:p>
    <w:p>
      <w:pPr>
        <w:pStyle w:val="TextBody"/>
        <w:bidi w:val="0"/>
        <w:spacing w:lineRule="auto" w:line="288" w:before="0" w:after="0"/>
        <w:ind w:left="0" w:right="0" w:hanging="990"/>
        <w:jc w:val="left"/>
        <w:rPr/>
      </w:pPr>
      <w:r>
        <w:rPr>
          <w:color w:val="000000"/>
        </w:rPr>
        <w:t>•</w:t>
      </w:r>
      <w:r>
        <w:rPr>
          <w:rFonts w:ascii="Times New Roman;serif" w:hAnsi="Times New Roman;serif"/>
          <w:b w:val="false"/>
          <w:color w:val="000000"/>
          <w:sz w:val="20"/>
        </w:rPr>
        <w:t xml:space="preserve">The treasury stock method; or </w:t>
      </w:r>
    </w:p>
    <w:p>
      <w:pPr>
        <w:pStyle w:val="TextBody"/>
        <w:bidi w:val="0"/>
        <w:spacing w:lineRule="auto" w:line="288" w:before="0" w:after="240"/>
        <w:ind w:left="0" w:right="0" w:hanging="990"/>
        <w:jc w:val="left"/>
        <w:rPr/>
      </w:pPr>
      <w:r>
        <w:rPr>
          <w:color w:val="000000"/>
        </w:rPr>
        <w:t>•</w:t>
      </w:r>
      <w:r>
        <w:rPr>
          <w:rFonts w:ascii="Times New Roman;serif" w:hAnsi="Times New Roman;serif"/>
          <w:b w:val="false"/>
          <w:color w:val="000000"/>
          <w:sz w:val="20"/>
        </w:rPr>
        <w:t xml:space="preserve">The two-class method assuming a participating security is not exercised or converted.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For the thirteen and thirty-nine weeks ended May 30, 2026 and May 31, 2025, the Company’s diluted income per share assumes the conversion of all vested Class B Common Stock into Common Stock and uses the two-class method for its unvested participating shares. The following tables set forth the computation of diluted income per share of Common Stock for the thirteen and thirty-nine weeks ended May 30, 2026 and May 31, 2025 (in thousands, except per share data): </w:t>
      </w:r>
    </w:p>
    <w:tbl>
      <w:tblPr>
        <w:tblW w:w="10205" w:type="dxa"/>
        <w:jc w:val="left"/>
        <w:tblInd w:w="0" w:type="dxa"/>
        <w:tblLayout w:type="fixed"/>
        <w:tblCellMar>
          <w:top w:w="28" w:type="dxa"/>
          <w:left w:w="28" w:type="dxa"/>
          <w:bottom w:w="28" w:type="dxa"/>
          <w:right w:w="28" w:type="dxa"/>
        </w:tblCellMar>
      </w:tblPr>
      <w:tblGrid>
        <w:gridCol w:w="1198"/>
        <w:gridCol w:w="966"/>
        <w:gridCol w:w="973"/>
        <w:gridCol w:w="213"/>
        <w:gridCol w:w="727"/>
        <w:gridCol w:w="111"/>
        <w:gridCol w:w="109"/>
        <w:gridCol w:w="109"/>
        <w:gridCol w:w="109"/>
        <w:gridCol w:w="255"/>
        <w:gridCol w:w="255"/>
        <w:gridCol w:w="256"/>
        <w:gridCol w:w="109"/>
        <w:gridCol w:w="109"/>
        <w:gridCol w:w="109"/>
        <w:gridCol w:w="211"/>
        <w:gridCol w:w="511"/>
        <w:gridCol w:w="109"/>
        <w:gridCol w:w="109"/>
        <w:gridCol w:w="109"/>
        <w:gridCol w:w="109"/>
        <w:gridCol w:w="221"/>
        <w:gridCol w:w="749"/>
        <w:gridCol w:w="113"/>
        <w:gridCol w:w="113"/>
        <w:gridCol w:w="113"/>
        <w:gridCol w:w="113"/>
        <w:gridCol w:w="255"/>
        <w:gridCol w:w="255"/>
        <w:gridCol w:w="256"/>
        <w:gridCol w:w="113"/>
        <w:gridCol w:w="113"/>
        <w:gridCol w:w="113"/>
        <w:gridCol w:w="218"/>
        <w:gridCol w:w="530"/>
        <w:gridCol w:w="164"/>
      </w:tblGrid>
      <w:tr>
        <w:trPr/>
        <w:tc>
          <w:tcPr>
            <w:tcW w:w="1198"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2"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Thirteen Weeks Ended May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9"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Thirty-Nine Weeks Ended May 30, 2026</w:t>
            </w:r>
          </w:p>
        </w:tc>
      </w:tr>
      <w:tr>
        <w:trPr/>
        <w:tc>
          <w:tcPr>
            <w:tcW w:w="3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Earnings</w:t>
              <w:br/>
              <w:t>to Common</w:t>
              <w:br/>
              <w:t>Shareholders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w:t>
              <w:b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Income</w:t>
              <w:br/>
              <w:t>Per</w:t>
              <w:br/>
              <w:t>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Earnings</w:t>
              <w:br/>
              <w:t>to Common</w:t>
              <w:br/>
              <w:t>Shareholders</w:t>
            </w:r>
          </w:p>
        </w:tc>
        <w:tc>
          <w:tcPr>
            <w:tcW w:w="3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w:t>
              <w:br/>
              <w:t>Shares</w:t>
            </w:r>
          </w:p>
        </w:tc>
        <w:tc>
          <w:tcPr>
            <w:tcW w:w="3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Income</w:t>
              <w:br/>
              <w:t>Per</w:t>
              <w:br/>
              <w:t>Share</w:t>
            </w:r>
          </w:p>
        </w:tc>
      </w:tr>
      <w:tr>
        <w:trPr/>
        <w:tc>
          <w:tcPr>
            <w:tcW w:w="3137"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As reported - Basic</w:t>
            </w:r>
          </w:p>
        </w:tc>
        <w:tc>
          <w:tcPr>
            <w:tcW w:w="213"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16,659 </w:t>
            </w:r>
          </w:p>
        </w:tc>
        <w:tc>
          <w:tcPr>
            <w:tcW w:w="11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14,532</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62,545 </w:t>
            </w:r>
          </w:p>
        </w:tc>
        <w:tc>
          <w:tcPr>
            <w:tcW w:w="113"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14,549</w:t>
            </w:r>
          </w:p>
        </w:tc>
        <w:tc>
          <w:tcPr>
            <w:tcW w:w="33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0"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4.30 </w:t>
            </w:r>
          </w:p>
        </w:tc>
        <w:tc>
          <w:tcPr>
            <w:tcW w:w="16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Add: effect of dilutive potential common shares</w:t>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7"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Awards</w:t>
            </w:r>
          </w:p>
        </w:tc>
        <w:tc>
          <w:tcPr>
            <w:tcW w:w="940"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33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Class B Common Stock</w:t>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3,257 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12,218 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3,551</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7"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As reported – Diluted</w:t>
            </w:r>
          </w:p>
        </w:tc>
        <w:tc>
          <w:tcPr>
            <w:tcW w:w="213"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19,916 </w:t>
            </w:r>
          </w:p>
        </w:tc>
        <w:tc>
          <w:tcPr>
            <w:tcW w:w="1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18,216</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74,763 </w:t>
            </w:r>
          </w:p>
        </w:tc>
        <w:tc>
          <w:tcPr>
            <w:tcW w:w="113"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18,175</w:t>
            </w:r>
          </w:p>
        </w:tc>
        <w:tc>
          <w:tcPr>
            <w:tcW w:w="33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0"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4.11 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187"/>
        <w:gridCol w:w="953"/>
        <w:gridCol w:w="959"/>
        <w:gridCol w:w="213"/>
        <w:gridCol w:w="727"/>
        <w:gridCol w:w="111"/>
        <w:gridCol w:w="109"/>
        <w:gridCol w:w="109"/>
        <w:gridCol w:w="109"/>
        <w:gridCol w:w="255"/>
        <w:gridCol w:w="255"/>
        <w:gridCol w:w="256"/>
        <w:gridCol w:w="109"/>
        <w:gridCol w:w="109"/>
        <w:gridCol w:w="109"/>
        <w:gridCol w:w="211"/>
        <w:gridCol w:w="511"/>
        <w:gridCol w:w="109"/>
        <w:gridCol w:w="109"/>
        <w:gridCol w:w="109"/>
        <w:gridCol w:w="109"/>
        <w:gridCol w:w="213"/>
        <w:gridCol w:w="836"/>
        <w:gridCol w:w="110"/>
        <w:gridCol w:w="110"/>
        <w:gridCol w:w="110"/>
        <w:gridCol w:w="110"/>
        <w:gridCol w:w="255"/>
        <w:gridCol w:w="255"/>
        <w:gridCol w:w="256"/>
        <w:gridCol w:w="110"/>
        <w:gridCol w:w="110"/>
        <w:gridCol w:w="110"/>
        <w:gridCol w:w="213"/>
        <w:gridCol w:w="517"/>
        <w:gridCol w:w="162"/>
      </w:tblGrid>
      <w:tr>
        <w:trPr/>
        <w:tc>
          <w:tcPr>
            <w:tcW w:w="1187"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2"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Thirteen Weeks Ended May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7"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Thirty-Nine Weeks Ended May 31, 2025</w:t>
            </w:r>
          </w:p>
        </w:tc>
      </w:tr>
      <w:tr>
        <w:trPr/>
        <w:tc>
          <w:tcPr>
            <w:tcW w:w="3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Earnings</w:t>
              <w:br/>
              <w:t>to Common</w:t>
              <w:br/>
              <w:t>Shareholders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w:t>
              <w:b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Income</w:t>
              <w:br/>
              <w:t>Per</w:t>
              <w:br/>
              <w:t>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Earnings</w:t>
              <w:br/>
              <w:t>to Common</w:t>
              <w:br/>
              <w:t>Shareholders</w:t>
            </w:r>
          </w:p>
        </w:tc>
        <w:tc>
          <w:tcPr>
            <w:tcW w:w="3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w:t>
              <w:br/>
              <w:t>Shares</w:t>
            </w:r>
          </w:p>
        </w:tc>
        <w:tc>
          <w:tcPr>
            <w:tcW w:w="3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Income</w:t>
              <w:br/>
              <w:t>Per</w:t>
              <w:br/>
              <w:t>Share</w:t>
            </w:r>
          </w:p>
        </w:tc>
      </w:tr>
      <w:tr>
        <w:trPr/>
        <w:tc>
          <w:tcPr>
            <w:tcW w:w="309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As reported - Basic</w:t>
            </w:r>
          </w:p>
        </w:tc>
        <w:tc>
          <w:tcPr>
            <w:tcW w:w="213"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33,346 </w:t>
            </w:r>
          </w:p>
        </w:tc>
        <w:tc>
          <w:tcPr>
            <w:tcW w:w="11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14,990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90,126 </w:t>
            </w:r>
          </w:p>
        </w:tc>
        <w:tc>
          <w:tcPr>
            <w:tcW w:w="110"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15,007</w:t>
            </w:r>
          </w:p>
        </w:tc>
        <w:tc>
          <w:tcPr>
            <w:tcW w:w="33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6.01 </w:t>
            </w:r>
          </w:p>
        </w:tc>
        <w:tc>
          <w:tcPr>
            <w:tcW w:w="162"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Add: effect of dilutive potential common shares</w:t>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Awards</w:t>
            </w:r>
          </w:p>
        </w:tc>
        <w:tc>
          <w:tcPr>
            <w:tcW w:w="940"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33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Class B Common Stock</w:t>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6,334 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17,118 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3,563</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As reported – Diluted</w:t>
            </w:r>
          </w:p>
        </w:tc>
        <w:tc>
          <w:tcPr>
            <w:tcW w:w="213"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39,680 </w:t>
            </w:r>
          </w:p>
        </w:tc>
        <w:tc>
          <w:tcPr>
            <w:tcW w:w="1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18,607</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107,244 </w:t>
            </w:r>
          </w:p>
        </w:tc>
        <w:tc>
          <w:tcPr>
            <w:tcW w:w="110"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18,633</w:t>
            </w:r>
          </w:p>
        </w:tc>
        <w:tc>
          <w:tcPr>
            <w:tcW w:w="33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7"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5.76 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Anti-dilutive stock-based awards excluded from the calculations of diluted income per share were immaterial during the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6b3ec25769c64ca5a7099a2dcb8d1969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6. Inventories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components of inventory as of May 30, 2026 and August 30, 2025 were as follows (in thousands):</w:t>
      </w:r>
    </w:p>
    <w:tbl>
      <w:tblPr>
        <w:tblW w:w="4321" w:type="dxa"/>
        <w:jc w:val="center"/>
        <w:tblInd w:w="0" w:type="dxa"/>
        <w:tblLayout w:type="fixed"/>
        <w:tblCellMar>
          <w:top w:w="28" w:type="dxa"/>
          <w:left w:w="28" w:type="dxa"/>
          <w:bottom w:w="28" w:type="dxa"/>
          <w:right w:w="28" w:type="dxa"/>
        </w:tblCellMar>
      </w:tblPr>
      <w:tblGrid>
        <w:gridCol w:w="548"/>
        <w:gridCol w:w="481"/>
        <w:gridCol w:w="485"/>
        <w:gridCol w:w="211"/>
        <w:gridCol w:w="826"/>
        <w:gridCol w:w="109"/>
        <w:gridCol w:w="109"/>
        <w:gridCol w:w="109"/>
        <w:gridCol w:w="109"/>
        <w:gridCol w:w="236"/>
        <w:gridCol w:w="926"/>
        <w:gridCol w:w="172"/>
      </w:tblGrid>
      <w:tr>
        <w:trPr/>
        <w:tc>
          <w:tcPr>
            <w:tcW w:w="54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May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August 30, 2025</w:t>
            </w:r>
          </w:p>
        </w:tc>
      </w:tr>
      <w:tr>
        <w:trPr/>
        <w:tc>
          <w:tcPr>
            <w:tcW w:w="151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19,556 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22,107 </w:t>
            </w:r>
          </w:p>
        </w:tc>
        <w:tc>
          <w:tcPr>
            <w:tcW w:w="172"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process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3,030 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125,989 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120,060 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148,495 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145,197 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7. Goodwill and Other Intangible Assets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changes in the carrying amount of goodwill for the thirty-nine weeks ended May 30, 2026 were as follows (in thousands):</w:t>
      </w:r>
    </w:p>
    <w:tbl>
      <w:tblPr>
        <w:tblW w:w="4281" w:type="dxa"/>
        <w:jc w:val="center"/>
        <w:tblInd w:w="0" w:type="dxa"/>
        <w:tblLayout w:type="fixed"/>
        <w:tblCellMar>
          <w:top w:w="28" w:type="dxa"/>
          <w:left w:w="28" w:type="dxa"/>
          <w:bottom w:w="28" w:type="dxa"/>
          <w:right w:w="28" w:type="dxa"/>
        </w:tblCellMar>
      </w:tblPr>
      <w:tblGrid>
        <w:gridCol w:w="1120"/>
        <w:gridCol w:w="981"/>
        <w:gridCol w:w="989"/>
        <w:gridCol w:w="211"/>
        <w:gridCol w:w="826"/>
        <w:gridCol w:w="154"/>
      </w:tblGrid>
      <w:tr>
        <w:trPr/>
        <w:tc>
          <w:tcPr>
            <w:tcW w:w="112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August 30, 2025</w:t>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657,748 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recorded during the period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12,160 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May 30, 2026</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669,925 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Intangible assets, net in the Company’s Consolidated Balance Sheets were as follows (in thousands):</w:t>
      </w:r>
    </w:p>
    <w:tbl>
      <w:tblPr>
        <w:tblW w:w="6200" w:type="dxa"/>
        <w:jc w:val="center"/>
        <w:tblInd w:w="0" w:type="dxa"/>
        <w:tblLayout w:type="fixed"/>
        <w:tblCellMar>
          <w:top w:w="28" w:type="dxa"/>
          <w:left w:w="28" w:type="dxa"/>
          <w:bottom w:w="28" w:type="dxa"/>
          <w:right w:w="28" w:type="dxa"/>
        </w:tblCellMar>
      </w:tblPr>
      <w:tblGrid>
        <w:gridCol w:w="711"/>
        <w:gridCol w:w="623"/>
        <w:gridCol w:w="630"/>
        <w:gridCol w:w="229"/>
        <w:gridCol w:w="898"/>
        <w:gridCol w:w="118"/>
        <w:gridCol w:w="109"/>
        <w:gridCol w:w="109"/>
        <w:gridCol w:w="109"/>
        <w:gridCol w:w="211"/>
        <w:gridCol w:w="826"/>
        <w:gridCol w:w="109"/>
        <w:gridCol w:w="109"/>
        <w:gridCol w:w="109"/>
        <w:gridCol w:w="109"/>
        <w:gridCol w:w="211"/>
        <w:gridCol w:w="826"/>
        <w:gridCol w:w="154"/>
      </w:tblGrid>
      <w:tr>
        <w:trPr/>
        <w:tc>
          <w:tcPr>
            <w:tcW w:w="71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Carrying</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Carrying</w:t>
              <w:br/>
              <w:t>Amount</w:t>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May 30, 2026</w:t>
            </w:r>
          </w:p>
        </w:tc>
        <w:tc>
          <w:tcPr>
            <w:tcW w:w="12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contracts</w:t>
            </w:r>
          </w:p>
        </w:tc>
        <w:tc>
          <w:tcPr>
            <w:tcW w:w="229"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321,907 </w:t>
            </w:r>
          </w:p>
        </w:tc>
        <w:tc>
          <w:tcPr>
            <w:tcW w:w="11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253,785 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68,122 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Software</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80,078 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23,826 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 assets</w:t>
            </w:r>
          </w:p>
        </w:tc>
        <w:tc>
          <w:tcPr>
            <w:tcW w:w="11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40,296 </w:t>
            </w:r>
          </w:p>
        </w:tc>
        <w:tc>
          <w:tcPr>
            <w:tcW w:w="11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39,651 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645 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442,281 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349,688 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92,593 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August 30, 2025</w:t>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contracts</w:t>
            </w:r>
          </w:p>
        </w:tc>
        <w:tc>
          <w:tcPr>
            <w:tcW w:w="229"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318,148 </w:t>
            </w:r>
          </w:p>
        </w:tc>
        <w:tc>
          <w:tcPr>
            <w:tcW w:w="11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243,364 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74,784 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Software</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81,659 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29,304 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 assets</w:t>
            </w:r>
          </w:p>
        </w:tc>
        <w:tc>
          <w:tcPr>
            <w:tcW w:w="11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40,003 </w:t>
            </w:r>
          </w:p>
        </w:tc>
        <w:tc>
          <w:tcPr>
            <w:tcW w:w="11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38,262 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1,741 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439,810 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333,981 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105,829 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8. Asset Retirement Obligations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 reconciliation of the Company’s asset retirement liability for the thirty-nine weeks ended May 30, 2026 is as follows (in thousands):</w:t>
      </w:r>
    </w:p>
    <w:tbl>
      <w:tblPr>
        <w:tblW w:w="3771" w:type="dxa"/>
        <w:jc w:val="center"/>
        <w:tblInd w:w="0" w:type="dxa"/>
        <w:tblLayout w:type="fixed"/>
        <w:tblCellMar>
          <w:top w:w="28" w:type="dxa"/>
          <w:left w:w="28" w:type="dxa"/>
          <w:bottom w:w="28" w:type="dxa"/>
          <w:right w:w="28" w:type="dxa"/>
        </w:tblCellMar>
      </w:tblPr>
      <w:tblGrid>
        <w:gridCol w:w="973"/>
        <w:gridCol w:w="853"/>
        <w:gridCol w:w="859"/>
        <w:gridCol w:w="211"/>
        <w:gridCol w:w="721"/>
        <w:gridCol w:w="154"/>
      </w:tblGrid>
      <w:tr>
        <w:trPr/>
        <w:tc>
          <w:tcPr>
            <w:tcW w:w="973"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August 30, 2025</w:t>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18,524 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Costs incurred</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May 30, 2026</w:t>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19,309 </w:t>
            </w:r>
          </w:p>
        </w:tc>
        <w:tc>
          <w:tcPr>
            <w:tcW w:w="15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pPr>
      <w:r>
        <w:rPr>
          <w:rFonts w:ascii="Times New Roman;serif" w:hAnsi="Times New Roman;serif"/>
          <w:b w:val="false"/>
          <w:color w:val="000000"/>
          <w:sz w:val="20"/>
        </w:rPr>
        <w:t>The Company</w:t>
      </w:r>
      <w:r>
        <w:rPr>
          <w:color w:val="000000"/>
        </w:rPr>
        <w:t>’</w:t>
      </w:r>
      <w:r>
        <w:rPr>
          <w:rFonts w:ascii="Times New Roman;serif" w:hAnsi="Times New Roman;serif"/>
          <w:b w:val="false"/>
          <w:color w:val="000000"/>
          <w:sz w:val="20"/>
        </w:rPr>
        <w:t>s asset retirement obligations are included in long-term accrued liabilities in the accompanying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6b3ec25769c64ca5a7099a2dcb8d1969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9. Commitments and Contingencies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and its operations are subject to various federal, state and local laws and regulations governing, among other things, air emissions, wastewater discharges, and the generation, handling, storage, transportation, treatment and disposal of hazardous wastes and other substances. In particular, industrial laundries currently use and must properly dispose of detergent wastewater and other residues, and, in the past, used perchloroethylene and other dry-cleaning solvents. The Company is attentive to the environmental concerns surrounding the disposal of these materials and has, through the years, taken measures to avoid their improper disposal. The Company has settled, or contributed to the settlement of, past actions or claims brought against the Company relating to the disposal of hazardous materials at several sites and there can be no assurance that the Company will not have to expend material amounts to remediate the consequences of any such disposal in the future.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U.S. GAAP requires that a liability for contingencies be recorded when it is probable that a liability has been incurred and the amount of the liability can be reasonably estimated. Significant judgment is required to determine the existence of a liability, as well as the amount to be recorded. The Company regularly consults with attorneys and outside consultants in its consideration of the relevant facts and circumstances before recording a contingent liability. Changes in enacted laws, regulatory orders or decrees, management’s estimates of costs, risk-free interest rates, insurance proceeds, participation by other parties, the timing of payments, the input of the Company’s attorneys and outside consultants or other factual circumstances could have a material impact on the amounts recorded for environmental and other contingent liabilities.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There is usually a range of reasonable estimates of the costs associated with each site. In accordance with U.S. GAAP, the Company’s accruals reflect the amount within the range that it believes is the best estimate or the low end of a range of estimates if no point within the range is a better estimate. Where it believes that both the amount of a particular liability and the timing of the payments are reliably determinable, the Company adjusts the cost in current dollars using a rate of 3% for inflation until the time of expected payment and discounts the cost to present value using current risk-free interest rates. As of May 30, 2026, the risk-free interest rate utilized by the Company was approximately 4.99%.</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For environmental liabilities that have been discounted, the Company includes interest accretion, based on the effective interest method, in selling and administrative expenses on the accompanying Consolidated Statements of Income.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changes to the Company’s environmental liabilities for the thirty-nine weeks ended May 30, 2026 were as follows (in thousands):</w:t>
      </w:r>
    </w:p>
    <w:tbl>
      <w:tblPr>
        <w:tblW w:w="5525" w:type="dxa"/>
        <w:jc w:val="center"/>
        <w:tblInd w:w="0" w:type="dxa"/>
        <w:tblLayout w:type="fixed"/>
        <w:tblCellMar>
          <w:top w:w="28" w:type="dxa"/>
          <w:left w:w="28" w:type="dxa"/>
          <w:bottom w:w="28" w:type="dxa"/>
          <w:right w:w="28" w:type="dxa"/>
        </w:tblCellMar>
      </w:tblPr>
      <w:tblGrid>
        <w:gridCol w:w="1609"/>
        <w:gridCol w:w="1410"/>
        <w:gridCol w:w="1420"/>
        <w:gridCol w:w="211"/>
        <w:gridCol w:w="721"/>
        <w:gridCol w:w="154"/>
      </w:tblGrid>
      <w:tr>
        <w:trPr/>
        <w:tc>
          <w:tcPr>
            <w:tcW w:w="1609"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August 30, 2025</w:t>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30,652 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Costs incurred for which reserves have been provided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 proceeds</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(201)</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accretion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discount rates</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(144)</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Revisions in estimates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May 30, 2026</w:t>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30,547 </w:t>
            </w:r>
          </w:p>
        </w:tc>
        <w:tc>
          <w:tcPr>
            <w:tcW w:w="15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Anticipated payments and insurance proceeds of currently identified environmental remediation liabilities as of May 30, 2026, for the next five fiscal years and thereafter, as measured in current dollars, are reflected below (in thousands):</w:t>
      </w:r>
    </w:p>
    <w:tbl>
      <w:tblPr>
        <w:tblW w:w="10205" w:type="dxa"/>
        <w:jc w:val="left"/>
        <w:tblInd w:w="0" w:type="dxa"/>
        <w:tblLayout w:type="fixed"/>
        <w:tblCellMar>
          <w:top w:w="28" w:type="dxa"/>
          <w:left w:w="28" w:type="dxa"/>
          <w:bottom w:w="28" w:type="dxa"/>
          <w:right w:w="28" w:type="dxa"/>
        </w:tblCellMar>
      </w:tblPr>
      <w:tblGrid>
        <w:gridCol w:w="519"/>
        <w:gridCol w:w="316"/>
        <w:gridCol w:w="318"/>
        <w:gridCol w:w="109"/>
        <w:gridCol w:w="109"/>
        <w:gridCol w:w="109"/>
        <w:gridCol w:w="211"/>
        <w:gridCol w:w="721"/>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466"/>
        <w:gridCol w:w="109"/>
        <w:gridCol w:w="109"/>
        <w:gridCol w:w="109"/>
        <w:gridCol w:w="109"/>
        <w:gridCol w:w="211"/>
        <w:gridCol w:w="721"/>
        <w:gridCol w:w="109"/>
        <w:gridCol w:w="109"/>
        <w:gridCol w:w="109"/>
        <w:gridCol w:w="109"/>
        <w:gridCol w:w="211"/>
        <w:gridCol w:w="721"/>
        <w:gridCol w:w="155"/>
      </w:tblGrid>
      <w:tr>
        <w:trPr/>
        <w:tc>
          <w:tcPr>
            <w:tcW w:w="51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153"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Estimated costs – current dollars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14,903 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2,067 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1,344 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1,150 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915 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14,654 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35,033 </w:t>
            </w:r>
          </w:p>
        </w:tc>
        <w:tc>
          <w:tcPr>
            <w:tcW w:w="155"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Estimated insurance proceeds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3"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anticipated costs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14,722 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1,917 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1,194 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765 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14,654 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34,252 </w:t>
            </w:r>
          </w:p>
        </w:tc>
        <w:tc>
          <w:tcPr>
            <w:tcW w:w="155"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inflation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10,392 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3"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discounting</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(14,097)</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May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30,547 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Estimated insurance proceeds are primarily obtained from an annuity received as part of a legal settlement with an insurance company. Annual proceeds of approximately $0.3 million are deposited into an escrow account which funds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6b3ec25769c64ca5a7099a2dcb8d1969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remediation and monitoring costs for two sites related to former operations. Annual proceeds received but not expended in the current year accumulate in this account and may be used in future years for costs related to this site through the year 2027. As of May 30, 2026, the balance in this escrow account, which is held in a trust and is not recorded in the Company’s accompanying Consolidated Balance Sheets, was approximately $6.1 million. Also included in estimated insurance proceeds are amounts the Company is entitled to receive pursuant to legal settlements as reimbursements from three insurance companies for estimated costs at one of its sites.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Company’s nuclear garment decontamination facilities are licensed by respective state agencies, as delegated authority by the Nuclear Regulatory Commission (the “NRC”) pursuant to the NRC’s Agreement State program and are subject to applicable federal and state radioactive material regulations. In addition, the Company’s international locations (Canada, the United Kingdom and the European Union) are regulated by equivalent respective jurisdictional authorities. There can be no assurance that such regulation will not lead to material disruptions in the Company’s garment decontamination business.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From time to time, the Company is also subject to legal and regulatory proceedings and claims arising from the conduct of its business operations, including but not limited to, personal injury claims, customer contract matters, employment claims and environmental matters as described above.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addition, in the fourth quarter of fiscal 2022, the Mexican federal tax authority issued a tax assessment on the Company’s subsidiary in Mexico for fiscal 2016 import taxes, value added taxes and custom processing fees of over $17.0 million, plus surcharges, fines and penalties of over $67.7 million for a total assessment of over $84.7 million. The Company challenged the validity of the tax assessment through an appeal process. In the first quarter of fiscal 2025, the Federal Tax Court in Mexico made a determination partially in the Company's favor. Following the Federal Tax Court’s determination, the Company filed a constitutional action before the Federal Administrative Court. In addition, the federal tax authority appealed the determination of the Federal Tax Court. While the Company is unable to ascertain the ultimate outcome of this matter, based on the information currently available, the Company believes that a loss with respect to this matter is neither probable nor remote. Given the uncertainty associated with the ultimate resolution of this matter, the Company is unable to reasonably assess an estimate or range of estimates of any potential losses.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While it is impossible for the Company to ascertain the ultimate legal and financial liability with respect to contingent liabilities, including lawsuits and environmental contingencies, the Company believes that the aggregate amount of such liabilities, if any, in excess of amounts covered by insurance have been properly accrued in accordance with U.S. GAAP. It is possible, however, that the future financial position and/or results of operations for any particular future period could be materially affected by changes in the Company’s assumptions or strategies related to these contingencies or changes out of the Company’s control.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10. Income Taxes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accordance with ASC 740, Income Taxes (“ASC 740”), each interim period is considered integral to the annual period and tax expense is measured using an estimated annual effective tax rate. An entity is required to record income tax expense each quarter based on its annual effective tax rate estimated for the full fiscal year and use that rate to provide for income taxes on a current year-to-date basis, adjusted for discrete taxable events that occur during the interim period.</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Effective tax rate</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effective tax rate for the thirteen weeks ended May 30, 2026 was 18.5% as compared to 25.7% for the corresponding period in the prior year. The Company’s effective tax rate for the thirty-nine weeks ended May 30, 2026 was 24.3% as compared to 25.5% for the corresponding period in the prior year. The decrease in the effective tax rate for both periods was primarily due to provision-to-return adjustments associated with income tax credits recognized upon finalization of the prior-year U.S. federal income tax return. These adjustments reflect refinement of estimates used in the prior year tax provision and resulted in a benefit of approximately $3.1 million.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Uncertain tax positions</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recognizes interest and penalties related to uncertain tax positions as a component of income tax expense, consistent with prior periods. During the thirty-nine weeks ended May 30, 2026, unrecognized tax positions increased by $3.3 million due to changes in existing reserves.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6b3ec25769c64ca5a7099a2dcb8d1969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files federal income tax returns in the United States and Canada, as well as state and provincial income tax returns in most U.S. jurisdictions and several Canadian provinces. The Company is periodically subject to income tax audits in these jurisdictions, which can be complex and may take several years to resolve. The final resolution of such audits may result in adjustments to the Company’s tax accruals or income tax provision, which could materially affect results of operations in the period of resolution.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U.S. and Canadian federal income tax statutes are closed for filings through fiscal years 2021 and 2017, respectively. With limited exceptions, state and local income tax examinations are closed for periods prior to fiscal 2022. The Company does not expect its unrecognized tax benefits to materially change during the next 12 months.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11. Long-Term Debt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On August 12, 2025, the Company entered into an amended and restated $300.0 million unsecured revolving credit agreement, (the “Credit Agreement”) with a syndicate of banks, which matures on August 12, 2030. Under the Credit Agreement, the Company is able to borrow funds at variable interest rates based on, at the Company’s election, the Secured Overnight Financing Rate (“SOFR”) or a base rate, plus in each case a spread based on the Company’s consolidated funded debt ratio. Provided there is no default or event of default under the Credit Agreement and the Company is in compliance with its financial covenants on a pro forma basis, the Company may request an increase in the aggregate commitments under the Credit Agreement (in the form of revolving or term tranches) of up to an additional $100.0 million, for a total aggregate commitment of up to $400.0 million.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Availability of credit requires compliance with certain financial and other covenants, including a maximum consolidated funded debt ratio and minimum consolidated interest coverage ratio as defined in the Credit Agreement. The Company evaluates its compliance with these financial covenants on a fiscal quarterly basis. As of May 30, 2026, the interest rates applicable to the Company’s borrowings under the Credit Agreement would be calculated as SOFR plus 1.00% at the time of the respective borrowing.</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of May 30, 2026, the Company had no outstanding borrowings and had outstanding letters of credit amounting to $102.0 million, leaving $198.0 million available for borrowing under the Credit Agreement.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of May 30, 2026, the Company was in compliance with all covenants under the Credit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12. Accumulated Other Comprehensive Loss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changes in each component of accumulated other comprehensive loss, net of tax, for the thirteen and thirty-nine weeks ended May 30, 2026 and May 31, 2025 were as follows (in thousands):</w:t>
      </w:r>
    </w:p>
    <w:tbl>
      <w:tblPr>
        <w:tblW w:w="10205" w:type="dxa"/>
        <w:jc w:val="left"/>
        <w:tblInd w:w="0" w:type="dxa"/>
        <w:tblLayout w:type="fixed"/>
        <w:tblCellMar>
          <w:top w:w="28" w:type="dxa"/>
          <w:left w:w="28" w:type="dxa"/>
          <w:bottom w:w="28" w:type="dxa"/>
          <w:right w:w="28" w:type="dxa"/>
        </w:tblCellMar>
      </w:tblPr>
      <w:tblGrid>
        <w:gridCol w:w="1770"/>
        <w:gridCol w:w="1485"/>
        <w:gridCol w:w="1491"/>
        <w:gridCol w:w="211"/>
        <w:gridCol w:w="786"/>
        <w:gridCol w:w="109"/>
        <w:gridCol w:w="109"/>
        <w:gridCol w:w="109"/>
        <w:gridCol w:w="109"/>
        <w:gridCol w:w="211"/>
        <w:gridCol w:w="616"/>
        <w:gridCol w:w="109"/>
        <w:gridCol w:w="109"/>
        <w:gridCol w:w="109"/>
        <w:gridCol w:w="109"/>
        <w:gridCol w:w="362"/>
        <w:gridCol w:w="621"/>
        <w:gridCol w:w="189"/>
        <w:gridCol w:w="109"/>
        <w:gridCol w:w="109"/>
        <w:gridCol w:w="109"/>
        <w:gridCol w:w="241"/>
        <w:gridCol w:w="842"/>
        <w:gridCol w:w="181"/>
      </w:tblGrid>
      <w:tr>
        <w:trPr/>
        <w:tc>
          <w:tcPr>
            <w:tcW w:w="1770"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4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9"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Thirteen Weeks Ended May 30, 2026</w:t>
            </w:r>
          </w:p>
        </w:tc>
      </w:tr>
      <w:tr>
        <w:trPr/>
        <w:tc>
          <w:tcPr>
            <w:tcW w:w="47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w:t>
              <w:br/>
              <w:t>Currency</w:t>
              <w:br/>
              <w:t>Translation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Pension-</w:t>
              <w:br/>
              <w:t>related (1)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Derivative</w:t>
              <w:br/>
              <w:t>Financial</w:t>
              <w:br/>
              <w:t>Instruments (1)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Accumulated</w:t>
              <w:br/>
              <w:t>Other</w:t>
              <w:br/>
              <w:t>Comprehensive</w:t>
              <w:br/>
              <w:t>Loss</w:t>
            </w:r>
          </w:p>
        </w:tc>
      </w:tr>
      <w:tr>
        <w:trPr/>
        <w:tc>
          <w:tcPr>
            <w:tcW w:w="4746"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February 28, 2026</w:t>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(24,180)</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4,111 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8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(20,040)</w:t>
            </w:r>
          </w:p>
        </w:tc>
        <w:tc>
          <w:tcPr>
            <w:tcW w:w="18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before reclassification</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(1,671)</w:t>
            </w:r>
          </w:p>
        </w:tc>
        <w:tc>
          <w:tcPr>
            <w:tcW w:w="18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46" w:type="dxa"/>
            <w:gridSpan w:val="3"/>
            <w:tcBorders/>
            <w:shd w:fill="CFF0FC"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loss</w:t>
            </w:r>
          </w:p>
        </w:tc>
        <w:tc>
          <w:tcPr>
            <w:tcW w:w="99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current period other comprehensive (loss) income</w:t>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(1,685)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(1,696)</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6"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May 30, 2026</w:t>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(25,865)</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4,111 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8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(21,736)</w:t>
            </w:r>
          </w:p>
        </w:tc>
        <w:tc>
          <w:tcPr>
            <w:tcW w:w="18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6b3ec25769c64ca5a7099a2dcb8d1969_10">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779"/>
        <w:gridCol w:w="1478"/>
        <w:gridCol w:w="1489"/>
        <w:gridCol w:w="211"/>
        <w:gridCol w:w="786"/>
        <w:gridCol w:w="109"/>
        <w:gridCol w:w="109"/>
        <w:gridCol w:w="109"/>
        <w:gridCol w:w="109"/>
        <w:gridCol w:w="211"/>
        <w:gridCol w:w="616"/>
        <w:gridCol w:w="109"/>
        <w:gridCol w:w="109"/>
        <w:gridCol w:w="109"/>
        <w:gridCol w:w="109"/>
        <w:gridCol w:w="362"/>
        <w:gridCol w:w="621"/>
        <w:gridCol w:w="189"/>
        <w:gridCol w:w="109"/>
        <w:gridCol w:w="109"/>
        <w:gridCol w:w="109"/>
        <w:gridCol w:w="241"/>
        <w:gridCol w:w="842"/>
        <w:gridCol w:w="181"/>
      </w:tblGrid>
      <w:tr>
        <w:trPr/>
        <w:tc>
          <w:tcPr>
            <w:tcW w:w="1779"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4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9"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Thirty-Nine Weeks Ended May 30, 2026</w:t>
            </w:r>
          </w:p>
        </w:tc>
      </w:tr>
      <w:tr>
        <w:trPr/>
        <w:tc>
          <w:tcPr>
            <w:tcW w:w="47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w:t>
              <w:br/>
              <w:t>Currency</w:t>
              <w:br/>
              <w:t>Translation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Pension-</w:t>
              <w:br/>
              <w:t>related (1)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Derivative</w:t>
              <w:br/>
              <w:t>Financial</w:t>
              <w:br/>
              <w:t>Instruments (1)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Accumulated</w:t>
              <w:br/>
              <w:t>Other</w:t>
              <w:br/>
              <w:t>Comprehensive</w:t>
              <w:br/>
              <w:t>Loss</w:t>
            </w:r>
          </w:p>
        </w:tc>
      </w:tr>
      <w:tr>
        <w:trPr/>
        <w:tc>
          <w:tcPr>
            <w:tcW w:w="4746"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August 30, 2025</w:t>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(25,956)</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4,111 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8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(21,785)</w:t>
            </w:r>
          </w:p>
        </w:tc>
        <w:tc>
          <w:tcPr>
            <w:tcW w:w="18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before reclassification</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8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46" w:type="dxa"/>
            <w:gridSpan w:val="3"/>
            <w:tcBorders/>
            <w:shd w:fill="CFF0FC"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loss</w:t>
            </w:r>
          </w:p>
        </w:tc>
        <w:tc>
          <w:tcPr>
            <w:tcW w:w="99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current period other comprehensive income (loss)</w:t>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6"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May 30, 2026</w:t>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(25,865)</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4,111 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8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(21,736)</w:t>
            </w:r>
          </w:p>
        </w:tc>
        <w:tc>
          <w:tcPr>
            <w:tcW w:w="18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780"/>
        <w:gridCol w:w="1477"/>
        <w:gridCol w:w="1490"/>
        <w:gridCol w:w="211"/>
        <w:gridCol w:w="786"/>
        <w:gridCol w:w="109"/>
        <w:gridCol w:w="109"/>
        <w:gridCol w:w="109"/>
        <w:gridCol w:w="109"/>
        <w:gridCol w:w="211"/>
        <w:gridCol w:w="616"/>
        <w:gridCol w:w="109"/>
        <w:gridCol w:w="109"/>
        <w:gridCol w:w="109"/>
        <w:gridCol w:w="109"/>
        <w:gridCol w:w="313"/>
        <w:gridCol w:w="694"/>
        <w:gridCol w:w="164"/>
        <w:gridCol w:w="109"/>
        <w:gridCol w:w="109"/>
        <w:gridCol w:w="109"/>
        <w:gridCol w:w="241"/>
        <w:gridCol w:w="842"/>
        <w:gridCol w:w="181"/>
      </w:tblGrid>
      <w:tr>
        <w:trPr/>
        <w:tc>
          <w:tcPr>
            <w:tcW w:w="1780"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4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8"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Thirteen Weeks Ended May 31, 2025</w:t>
            </w:r>
          </w:p>
        </w:tc>
      </w:tr>
      <w:tr>
        <w:trPr/>
        <w:tc>
          <w:tcPr>
            <w:tcW w:w="47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w:t>
              <w:br/>
              <w:t>Currency</w:t>
              <w:br/>
              <w:t>Translation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Pension-</w:t>
              <w:br/>
              <w:t>related (1)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Derivative</w:t>
              <w:br/>
              <w:t>Financial</w:t>
              <w:br/>
              <w:t>Instruments (1)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Accumulated</w:t>
              <w:br/>
              <w:t>Other</w:t>
              <w:br/>
              <w:t>Comprehensive</w:t>
              <w:br/>
              <w:t>Loss</w:t>
            </w:r>
          </w:p>
        </w:tc>
      </w:tr>
      <w:tr>
        <w:trPr/>
        <w:tc>
          <w:tcPr>
            <w:tcW w:w="4747"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March 1, 2025</w:t>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(35,340)</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2,234 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4"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6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(32,952)</w:t>
            </w:r>
          </w:p>
        </w:tc>
        <w:tc>
          <w:tcPr>
            <w:tcW w:w="18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reclassification</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8,559 </w:t>
            </w:r>
          </w:p>
        </w:tc>
        <w:tc>
          <w:tcPr>
            <w:tcW w:w="18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47" w:type="dxa"/>
            <w:gridSpan w:val="3"/>
            <w:tcBorders/>
            <w:shd w:fill="CFF0FC"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loss</w:t>
            </w:r>
          </w:p>
        </w:tc>
        <w:tc>
          <w:tcPr>
            <w:tcW w:w="99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current period other comprehensive income (loss)</w:t>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8,535 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7"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May 31, 2025</w:t>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(26,721)</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2,234 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6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(24,417)</w:t>
            </w:r>
          </w:p>
        </w:tc>
        <w:tc>
          <w:tcPr>
            <w:tcW w:w="18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779"/>
        <w:gridCol w:w="1478"/>
        <w:gridCol w:w="1489"/>
        <w:gridCol w:w="211"/>
        <w:gridCol w:w="786"/>
        <w:gridCol w:w="109"/>
        <w:gridCol w:w="109"/>
        <w:gridCol w:w="109"/>
        <w:gridCol w:w="109"/>
        <w:gridCol w:w="211"/>
        <w:gridCol w:w="616"/>
        <w:gridCol w:w="109"/>
        <w:gridCol w:w="109"/>
        <w:gridCol w:w="109"/>
        <w:gridCol w:w="109"/>
        <w:gridCol w:w="362"/>
        <w:gridCol w:w="621"/>
        <w:gridCol w:w="189"/>
        <w:gridCol w:w="109"/>
        <w:gridCol w:w="109"/>
        <w:gridCol w:w="109"/>
        <w:gridCol w:w="241"/>
        <w:gridCol w:w="842"/>
        <w:gridCol w:w="181"/>
      </w:tblGrid>
      <w:tr>
        <w:trPr/>
        <w:tc>
          <w:tcPr>
            <w:tcW w:w="1779"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4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9"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Thirty-Nine Weeks Ended May 31, 2025</w:t>
            </w:r>
          </w:p>
        </w:tc>
      </w:tr>
      <w:tr>
        <w:trPr/>
        <w:tc>
          <w:tcPr>
            <w:tcW w:w="47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w:t>
              <w:br/>
              <w:t>Currency</w:t>
              <w:br/>
              <w:t>Translation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Pension-</w:t>
              <w:br/>
              <w:t>related (1)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Derivative</w:t>
              <w:br/>
              <w:t>Financial</w:t>
              <w:br/>
              <w:t>Instruments (1)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Accumulated</w:t>
              <w:br/>
              <w:t>Other</w:t>
              <w:br/>
              <w:t>Comprehensive</w:t>
              <w:br/>
              <w:t>Loss</w:t>
            </w:r>
          </w:p>
        </w:tc>
      </w:tr>
      <w:tr>
        <w:trPr/>
        <w:tc>
          <w:tcPr>
            <w:tcW w:w="4746"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August 31, 2024</w:t>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(25,966)</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2,234 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8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(23,644)</w:t>
            </w:r>
          </w:p>
        </w:tc>
        <w:tc>
          <w:tcPr>
            <w:tcW w:w="18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before reclassification</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(677)</w:t>
            </w:r>
          </w:p>
        </w:tc>
        <w:tc>
          <w:tcPr>
            <w:tcW w:w="18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46" w:type="dxa"/>
            <w:gridSpan w:val="3"/>
            <w:tcBorders/>
            <w:shd w:fill="CFF0FC"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loss</w:t>
            </w:r>
          </w:p>
        </w:tc>
        <w:tc>
          <w:tcPr>
            <w:tcW w:w="99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current period other comprehensive loss</w:t>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(773)</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6"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May 31, 2025</w:t>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(26,721)</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2,234 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8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(24,417)</w:t>
            </w:r>
          </w:p>
        </w:tc>
        <w:tc>
          <w:tcPr>
            <w:tcW w:w="18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(1)Amounts are shown net of tax</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loss, net of tax, for the thirteen and thirty-nine weeks ended May 30, 2026 and May 31, 2025 were as follows (in thousands):</w:t>
      </w:r>
    </w:p>
    <w:tbl>
      <w:tblPr>
        <w:tblW w:w="8620" w:type="dxa"/>
        <w:jc w:val="center"/>
        <w:tblInd w:w="0" w:type="dxa"/>
        <w:tblLayout w:type="fixed"/>
        <w:tblCellMar>
          <w:top w:w="28" w:type="dxa"/>
          <w:left w:w="28" w:type="dxa"/>
          <w:bottom w:w="28" w:type="dxa"/>
          <w:right w:w="28" w:type="dxa"/>
        </w:tblCellMar>
      </w:tblPr>
      <w:tblGrid>
        <w:gridCol w:w="1134"/>
        <w:gridCol w:w="999"/>
        <w:gridCol w:w="1002"/>
        <w:gridCol w:w="310"/>
        <w:gridCol w:w="640"/>
        <w:gridCol w:w="160"/>
        <w:gridCol w:w="109"/>
        <w:gridCol w:w="109"/>
        <w:gridCol w:w="109"/>
        <w:gridCol w:w="310"/>
        <w:gridCol w:w="640"/>
        <w:gridCol w:w="160"/>
        <w:gridCol w:w="109"/>
        <w:gridCol w:w="109"/>
        <w:gridCol w:w="109"/>
        <w:gridCol w:w="310"/>
        <w:gridCol w:w="640"/>
        <w:gridCol w:w="159"/>
        <w:gridCol w:w="116"/>
        <w:gridCol w:w="116"/>
        <w:gridCol w:w="116"/>
        <w:gridCol w:w="304"/>
        <w:gridCol w:w="629"/>
        <w:gridCol w:w="221"/>
      </w:tblGrid>
      <w:tr>
        <w:trPr/>
        <w:tc>
          <w:tcPr>
            <w:tcW w:w="1134"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1"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Thirty-Nine Weeks Ended</w:t>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May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May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May 30, 2026</w:t>
            </w:r>
          </w:p>
        </w:tc>
        <w:tc>
          <w:tcPr>
            <w:tcW w:w="3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May 31, 2025</w:t>
            </w:r>
          </w:p>
        </w:tc>
      </w:tr>
      <w:tr>
        <w:trPr/>
        <w:tc>
          <w:tcPr>
            <w:tcW w:w="313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financial instruments, net:</w:t>
            </w:r>
          </w:p>
        </w:tc>
        <w:tc>
          <w:tcPr>
            <w:tcW w:w="1110"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76" w:before="14" w:after="283"/>
              <w:jc w:val="left"/>
              <w:rPr/>
            </w:pPr>
            <w:r>
              <w:rPr>
                <w:rFonts w:ascii="Times New Roman;serif" w:hAnsi="Times New Roman;serif"/>
                <w:b w:val="false"/>
                <w:color w:val="000000"/>
                <w:sz w:val="20"/>
              </w:rPr>
              <w:t xml:space="preserve">Forward contracts </w:t>
            </w:r>
            <w:r>
              <w:rPr>
                <w:rFonts w:ascii="Times New Roman;serif" w:hAnsi="Times New Roman;serif"/>
                <w:b w:val="false"/>
                <w:color w:val="000000"/>
                <w:sz w:val="13"/>
              </w:rPr>
              <w:t>(a)</w:t>
            </w:r>
          </w:p>
        </w:tc>
        <w:tc>
          <w:tcPr>
            <w:tcW w:w="31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of tax</w:t>
            </w:r>
          </w:p>
        </w:tc>
        <w:tc>
          <w:tcPr>
            <w:tcW w:w="950"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60"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60"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15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22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amounts reclassified, net of tax</w:t>
            </w:r>
          </w:p>
        </w:tc>
        <w:tc>
          <w:tcPr>
            <w:tcW w:w="310"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0"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60"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0"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60"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0"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15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22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(a)Amounts included in revenues in the accompanying Consolidated Statements of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6b3ec25769c64ca5a7099a2dcb8d1969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13. Segment Reporting</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Operating segments are identified as components of an enterprise for which separate discrete financial information is available for evaluation by the chief operating decision-maker, or decision-making group, in making decisions on how to allocate resources and assess performance.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Prior to May 31, 2025, the Company organized its business into six operating segments: U.S. Rental and Cleaning, Canadian Rental and Cleaning, Manufacturing (“MFG”), Specialty Garments Rental and Cleaning (“Specialty Garments”), First Aid and Corporate. The U.S. Rental and Cleaning and Canadian Rental and Cleaning operating segments were previously combined to form the U.S. and Canadian Rental and Cleaning reporting segment, and as a result, the Company had five reporting segments. The Company previously referred to its U.S. and Canadian Rental and Cleaning, MFG, and Corporate segments combined as its “Core Laundry Operations.”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Beginning with the fourth quarter of 2025, the Company reorganized its business into three reportable operating segments:</w:t>
      </w:r>
    </w:p>
    <w:p>
      <w:pPr>
        <w:pStyle w:val="TextBody"/>
        <w:bidi w:val="0"/>
        <w:spacing w:lineRule="auto" w:line="288" w:before="0" w:after="240"/>
        <w:jc w:val="left"/>
        <w:rPr/>
      </w:pPr>
      <w:r>
        <w:rPr>
          <w:rFonts w:ascii="Times New Roman;serif" w:hAnsi="Times New Roman;serif"/>
          <w:b/>
          <w:i/>
          <w:color w:val="000000"/>
          <w:sz w:val="20"/>
        </w:rPr>
        <w:t>Uniform &amp; Facility Service Solutions:</w:t>
      </w:r>
      <w:r>
        <w:rPr>
          <w:color w:val="000000"/>
        </w:rPr>
        <w:t xml:space="preserve"> </w:t>
      </w:r>
      <w:r>
        <w:rPr>
          <w:rFonts w:ascii="Times New Roman;serif" w:hAnsi="Times New Roman;serif"/>
          <w:b w:val="false"/>
          <w:color w:val="000000"/>
          <w:sz w:val="20"/>
        </w:rPr>
        <w:t>This reporting segment consolidates the former U.S. and Canadian Rental and Cleaning, MFG and Corporate segments and includes our cleanroom solutions, which was previously part of the Specialty Garments reporting segment. The Uniform &amp; Facility Service Solutions reporting segment designs, manufactures, purchases, rents, cleans, delivers and sells, uniforms and protective clothing and non-garment items in the U.S. and Canada. The segment, through our cleanroom solutions, also purchases, rents, cleans, delivers and sells specialty garments and non-garment items primarily for cleanroom applications and provides cleanroom cleaning at limited customer locations. Additionally, Uniform &amp; Facility Service Solutions consists of our distribution center, sales and marketing, information systems, engineering, materials management, manufacturing planning, finance, budgeting, human resources, other general and administrative costs and interest expense.</w:t>
      </w:r>
    </w:p>
    <w:p>
      <w:pPr>
        <w:pStyle w:val="TextBody"/>
        <w:bidi w:val="0"/>
        <w:spacing w:lineRule="auto" w:line="288" w:before="0" w:after="240"/>
        <w:jc w:val="left"/>
        <w:rPr/>
      </w:pPr>
      <w:r>
        <w:rPr>
          <w:rFonts w:ascii="Times New Roman;serif" w:hAnsi="Times New Roman;serif"/>
          <w:b/>
          <w:i/>
          <w:color w:val="000000"/>
          <w:sz w:val="20"/>
        </w:rPr>
        <w:t>First Aid &amp; Safety Solutions:</w:t>
      </w:r>
      <w:r>
        <w:rPr>
          <w:color w:val="000000"/>
        </w:rPr>
        <w:t xml:space="preserve"> </w:t>
      </w:r>
      <w:r>
        <w:rPr>
          <w:rFonts w:ascii="Times New Roman;serif" w:hAnsi="Times New Roman;serif"/>
          <w:b w:val="false"/>
          <w:color w:val="000000"/>
          <w:sz w:val="20"/>
        </w:rPr>
        <w:t>We renamed our First Aid reporting segment as the First Aid &amp; Safety Solutions reporting segment to better reflect the scope of services and products offered. The First Aid &amp; Safety Solutions reporting segment sells first aid cabinet services, non-prescription medicines and safety supplies, and provides certain safety training.</w:t>
      </w:r>
    </w:p>
    <w:p>
      <w:pPr>
        <w:pStyle w:val="TextBody"/>
        <w:bidi w:val="0"/>
        <w:spacing w:lineRule="auto" w:line="288" w:before="0" w:after="240"/>
        <w:jc w:val="left"/>
        <w:rPr/>
      </w:pPr>
      <w:r>
        <w:rPr>
          <w:rFonts w:ascii="Times New Roman;serif" w:hAnsi="Times New Roman;serif"/>
          <w:b/>
          <w:i/>
          <w:color w:val="000000"/>
          <w:sz w:val="20"/>
        </w:rPr>
        <w:t>Other:</w:t>
      </w:r>
      <w:r>
        <w:rPr>
          <w:color w:val="000000"/>
        </w:rPr>
        <w:t xml:space="preserve"> </w:t>
      </w:r>
      <w:r>
        <w:rPr>
          <w:rFonts w:ascii="Times New Roman;serif" w:hAnsi="Times New Roman;serif"/>
          <w:b w:val="false"/>
          <w:color w:val="000000"/>
          <w:sz w:val="20"/>
        </w:rPr>
        <w:t>This reporting segment currently consists of our nuclear business, which was previously part of the Specialty Garments reporting segment with our cleanroom business. The segment purchases, rents, cleans, delivers and sells, specialty garments and non-garment items primarily for nuclear applications.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chief operating decision maker (the “CODM”) is the Chief Executive Officer. The modifications to the Company’s reporting segments reflect how the CODM assesses performance and allocates resources. The CODM uses segment revenues and segment U.S. GAAP operating income to assess performance and allocate resources. The CODM uses this information, which includes a comparison of segment results to historical periods and budget, to guide decisions on how to allocate resources, to evaluate operating performance, generate future operating plans and make strategic decisions regarding the allocation of capital.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recast prior certain period segment results to conform with the current presentation. For this recast, refer to the Company’s Form 8-K filed on October 17, 2025. Asset information is not utilized by the CODM for purposes of assessing performance or allocating resources, and therefore such information has not been presented.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 includes the Company’s financial results by reportable segment, including segment revenues, significant segment expenses (which includes cost of revenues, selling and administrative expenses, and depreciation and amortization), and segment operating income for the thirteen and thirty-nine weeks ended May 30, 2026 and May 31, 2025 (in thousands):</w:t>
      </w:r>
    </w:p>
    <w:tbl>
      <w:tblPr>
        <w:tblW w:w="9989" w:type="dxa"/>
        <w:jc w:val="left"/>
        <w:tblInd w:w="0" w:type="dxa"/>
        <w:tblLayout w:type="fixed"/>
        <w:tblCellMar>
          <w:top w:w="28" w:type="dxa"/>
          <w:left w:w="28" w:type="dxa"/>
          <w:bottom w:w="28" w:type="dxa"/>
          <w:right w:w="28" w:type="dxa"/>
        </w:tblCellMar>
      </w:tblPr>
      <w:tblGrid>
        <w:gridCol w:w="933"/>
        <w:gridCol w:w="819"/>
        <w:gridCol w:w="827"/>
        <w:gridCol w:w="109"/>
        <w:gridCol w:w="109"/>
        <w:gridCol w:w="109"/>
        <w:gridCol w:w="432"/>
        <w:gridCol w:w="1623"/>
        <w:gridCol w:w="240"/>
        <w:gridCol w:w="109"/>
        <w:gridCol w:w="109"/>
        <w:gridCol w:w="109"/>
        <w:gridCol w:w="365"/>
        <w:gridCol w:w="1203"/>
        <w:gridCol w:w="202"/>
        <w:gridCol w:w="109"/>
        <w:gridCol w:w="109"/>
        <w:gridCol w:w="109"/>
        <w:gridCol w:w="196"/>
        <w:gridCol w:w="646"/>
        <w:gridCol w:w="109"/>
        <w:gridCol w:w="109"/>
        <w:gridCol w:w="109"/>
        <w:gridCol w:w="109"/>
        <w:gridCol w:w="196"/>
        <w:gridCol w:w="736"/>
        <w:gridCol w:w="154"/>
      </w:tblGrid>
      <w:tr>
        <w:trPr/>
        <w:tc>
          <w:tcPr>
            <w:tcW w:w="933"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For</w:t>
              <w:br/>
              <w:t>the thirteen weeks ended May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Uniform &amp; Facility Service Solutions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First Aid &amp; Safety Solutions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r>
          </w:p>
        </w:tc>
      </w:tr>
      <w:tr>
        <w:trPr/>
        <w:tc>
          <w:tcPr>
            <w:tcW w:w="2579"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Revenues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623"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575,747 </w:t>
            </w:r>
          </w:p>
        </w:tc>
        <w:tc>
          <w:tcPr>
            <w:tcW w:w="240"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03"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30,809 </w:t>
            </w:r>
          </w:p>
        </w:tc>
        <w:tc>
          <w:tcPr>
            <w:tcW w:w="202"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27,846 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634,402 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362,554 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19,793 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399,676 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Selling and administrative expenses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159,716 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11,307 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4,902 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175,925 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33,812 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1,257 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35,771 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Income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623"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19,665 </w:t>
            </w:r>
          </w:p>
        </w:tc>
        <w:tc>
          <w:tcPr>
            <w:tcW w:w="240"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03"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(1,548)</w:t>
            </w:r>
          </w:p>
        </w:tc>
        <w:tc>
          <w:tcPr>
            <w:tcW w:w="202"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4,913 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23,030 </w:t>
            </w:r>
          </w:p>
        </w:tc>
        <w:tc>
          <w:tcPr>
            <w:tcW w:w="15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6b3ec25769c64ca5a7099a2dcb8d1969_10">
        <w:r>
          <w:rPr>
            <w:rStyle w:val="InternetLink"/>
            <w:rFonts w:ascii="Times New Roman;serif" w:hAnsi="Times New Roman;serif"/>
            <w:b w:val="false"/>
            <w:color w:val="0000FF"/>
            <w:sz w:val="20"/>
            <w:u w:val="single"/>
          </w:rPr>
          <w:t>Table of Contents</w:t>
        </w:r>
      </w:hyperlink>
    </w:p>
    <w:tbl>
      <w:tblPr>
        <w:tblW w:w="9989" w:type="dxa"/>
        <w:jc w:val="center"/>
        <w:tblInd w:w="0" w:type="dxa"/>
        <w:tblLayout w:type="fixed"/>
        <w:tblCellMar>
          <w:top w:w="28" w:type="dxa"/>
          <w:left w:w="28" w:type="dxa"/>
          <w:bottom w:w="28" w:type="dxa"/>
          <w:right w:w="28" w:type="dxa"/>
        </w:tblCellMar>
      </w:tblPr>
      <w:tblGrid>
        <w:gridCol w:w="933"/>
        <w:gridCol w:w="819"/>
        <w:gridCol w:w="827"/>
        <w:gridCol w:w="109"/>
        <w:gridCol w:w="109"/>
        <w:gridCol w:w="109"/>
        <w:gridCol w:w="432"/>
        <w:gridCol w:w="1623"/>
        <w:gridCol w:w="240"/>
        <w:gridCol w:w="109"/>
        <w:gridCol w:w="109"/>
        <w:gridCol w:w="109"/>
        <w:gridCol w:w="365"/>
        <w:gridCol w:w="1203"/>
        <w:gridCol w:w="202"/>
        <w:gridCol w:w="109"/>
        <w:gridCol w:w="109"/>
        <w:gridCol w:w="109"/>
        <w:gridCol w:w="196"/>
        <w:gridCol w:w="646"/>
        <w:gridCol w:w="109"/>
        <w:gridCol w:w="109"/>
        <w:gridCol w:w="109"/>
        <w:gridCol w:w="109"/>
        <w:gridCol w:w="196"/>
        <w:gridCol w:w="736"/>
        <w:gridCol w:w="154"/>
      </w:tblGrid>
      <w:tr>
        <w:trPr/>
        <w:tc>
          <w:tcPr>
            <w:tcW w:w="933"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For</w:t>
              <w:br/>
              <w:t>the thirteen weeks ended May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Uniform &amp; Facility Service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First Aid &amp; Safety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r>
          </w:p>
        </w:tc>
      </w:tr>
      <w:tr>
        <w:trPr/>
        <w:tc>
          <w:tcPr>
            <w:tcW w:w="2579"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Revenues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623"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554,331 </w:t>
            </w:r>
          </w:p>
        </w:tc>
        <w:tc>
          <w:tcPr>
            <w:tcW w:w="240"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03"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29,787 </w:t>
            </w:r>
          </w:p>
        </w:tc>
        <w:tc>
          <w:tcPr>
            <w:tcW w:w="202"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26,660 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610,778 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348,544 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19,336 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385,189 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Selling and administrative expenses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129,554 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8,951 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4,185 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142,690 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32,990 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975 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Income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623"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43,243 </w:t>
            </w:r>
          </w:p>
        </w:tc>
        <w:tc>
          <w:tcPr>
            <w:tcW w:w="240"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03"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525 </w:t>
            </w:r>
          </w:p>
        </w:tc>
        <w:tc>
          <w:tcPr>
            <w:tcW w:w="202"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4,409 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48,177 </w:t>
            </w:r>
          </w:p>
        </w:tc>
        <w:tc>
          <w:tcPr>
            <w:tcW w:w="15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124" w:type="dxa"/>
        <w:jc w:val="center"/>
        <w:tblInd w:w="0" w:type="dxa"/>
        <w:tblLayout w:type="fixed"/>
        <w:tblCellMar>
          <w:top w:w="28" w:type="dxa"/>
          <w:left w:w="28" w:type="dxa"/>
          <w:bottom w:w="28" w:type="dxa"/>
          <w:right w:w="28" w:type="dxa"/>
        </w:tblCellMar>
      </w:tblPr>
      <w:tblGrid>
        <w:gridCol w:w="933"/>
        <w:gridCol w:w="822"/>
        <w:gridCol w:w="825"/>
        <w:gridCol w:w="109"/>
        <w:gridCol w:w="109"/>
        <w:gridCol w:w="109"/>
        <w:gridCol w:w="382"/>
        <w:gridCol w:w="1700"/>
        <w:gridCol w:w="212"/>
        <w:gridCol w:w="109"/>
        <w:gridCol w:w="109"/>
        <w:gridCol w:w="109"/>
        <w:gridCol w:w="365"/>
        <w:gridCol w:w="1203"/>
        <w:gridCol w:w="202"/>
        <w:gridCol w:w="109"/>
        <w:gridCol w:w="109"/>
        <w:gridCol w:w="109"/>
        <w:gridCol w:w="196"/>
        <w:gridCol w:w="646"/>
        <w:gridCol w:w="109"/>
        <w:gridCol w:w="109"/>
        <w:gridCol w:w="109"/>
        <w:gridCol w:w="109"/>
        <w:gridCol w:w="196"/>
        <w:gridCol w:w="871"/>
        <w:gridCol w:w="154"/>
      </w:tblGrid>
      <w:tr>
        <w:trPr/>
        <w:tc>
          <w:tcPr>
            <w:tcW w:w="93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For</w:t>
              <w:br/>
              <w:t>the thirty-nine weeks ended May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Uniform &amp; Facility Service Solutions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First Aid &amp; Safety Solutions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r>
          </w:p>
        </w:tc>
      </w:tr>
      <w:tr>
        <w:trPr/>
        <w:tc>
          <w:tcPr>
            <w:tcW w:w="2580"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Revenues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700"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1,710,447 </w:t>
            </w:r>
          </w:p>
        </w:tc>
        <w:tc>
          <w:tcPr>
            <w:tcW w:w="212"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03"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91,846 </w:t>
            </w:r>
          </w:p>
        </w:tc>
        <w:tc>
          <w:tcPr>
            <w:tcW w:w="202"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75,932 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1,878,225 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1,088,431 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58,807 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1,196,391 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Selling and administrative expenses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435,430 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32,280 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13,434 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481,144 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100,209 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3,815 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106,338 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Income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700"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86,377 </w:t>
            </w:r>
          </w:p>
        </w:tc>
        <w:tc>
          <w:tcPr>
            <w:tcW w:w="212"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03"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(3,056)</w:t>
            </w:r>
          </w:p>
        </w:tc>
        <w:tc>
          <w:tcPr>
            <w:tcW w:w="202"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11,031 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94,352 </w:t>
            </w:r>
          </w:p>
        </w:tc>
        <w:tc>
          <w:tcPr>
            <w:tcW w:w="15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124" w:type="dxa"/>
        <w:jc w:val="left"/>
        <w:tblInd w:w="0" w:type="dxa"/>
        <w:tblLayout w:type="fixed"/>
        <w:tblCellMar>
          <w:top w:w="28" w:type="dxa"/>
          <w:left w:w="28" w:type="dxa"/>
          <w:bottom w:w="28" w:type="dxa"/>
          <w:right w:w="28" w:type="dxa"/>
        </w:tblCellMar>
      </w:tblPr>
      <w:tblGrid>
        <w:gridCol w:w="933"/>
        <w:gridCol w:w="822"/>
        <w:gridCol w:w="825"/>
        <w:gridCol w:w="109"/>
        <w:gridCol w:w="109"/>
        <w:gridCol w:w="109"/>
        <w:gridCol w:w="382"/>
        <w:gridCol w:w="1700"/>
        <w:gridCol w:w="212"/>
        <w:gridCol w:w="109"/>
        <w:gridCol w:w="109"/>
        <w:gridCol w:w="109"/>
        <w:gridCol w:w="365"/>
        <w:gridCol w:w="1203"/>
        <w:gridCol w:w="202"/>
        <w:gridCol w:w="109"/>
        <w:gridCol w:w="109"/>
        <w:gridCol w:w="109"/>
        <w:gridCol w:w="196"/>
        <w:gridCol w:w="646"/>
        <w:gridCol w:w="109"/>
        <w:gridCol w:w="109"/>
        <w:gridCol w:w="109"/>
        <w:gridCol w:w="109"/>
        <w:gridCol w:w="196"/>
        <w:gridCol w:w="871"/>
        <w:gridCol w:w="154"/>
      </w:tblGrid>
      <w:tr>
        <w:trPr/>
        <w:tc>
          <w:tcPr>
            <w:tcW w:w="93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For</w:t>
              <w:br/>
              <w:t>the thirty-nine weeks ended May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Uniform &amp; Facility Service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First Aid &amp; Safety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r>
          </w:p>
        </w:tc>
      </w:tr>
      <w:tr>
        <w:trPr/>
        <w:tc>
          <w:tcPr>
            <w:tcW w:w="2580"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Revenues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700"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1,658,490 </w:t>
            </w:r>
          </w:p>
        </w:tc>
        <w:tc>
          <w:tcPr>
            <w:tcW w:w="212"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03"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83,463 </w:t>
            </w:r>
          </w:p>
        </w:tc>
        <w:tc>
          <w:tcPr>
            <w:tcW w:w="202"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75,952 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1,817,905 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Cost of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1,056,285 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54,622 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1,160,388 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Selling and administrative expenses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380,936 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25,654 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11,529 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418,119 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99,334 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2,807 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104,476 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Income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700"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121,935 </w:t>
            </w:r>
          </w:p>
        </w:tc>
        <w:tc>
          <w:tcPr>
            <w:tcW w:w="212"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03"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380 </w:t>
            </w:r>
          </w:p>
        </w:tc>
        <w:tc>
          <w:tcPr>
            <w:tcW w:w="202"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12,607 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134,922 </w:t>
            </w:r>
          </w:p>
        </w:tc>
        <w:tc>
          <w:tcPr>
            <w:tcW w:w="15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a reconciliation of total segment operating income to consolidated net income for the thirteen and thirty-nine weeks ended May 30, 2026 and May 31, 2025 (in thousands):</w:t>
      </w:r>
    </w:p>
    <w:tbl>
      <w:tblPr>
        <w:tblW w:w="7817" w:type="dxa"/>
        <w:jc w:val="left"/>
        <w:tblInd w:w="0" w:type="dxa"/>
        <w:tblLayout w:type="fixed"/>
        <w:tblCellMar>
          <w:top w:w="28" w:type="dxa"/>
          <w:left w:w="28" w:type="dxa"/>
          <w:bottom w:w="28" w:type="dxa"/>
          <w:right w:w="28" w:type="dxa"/>
        </w:tblCellMar>
      </w:tblPr>
      <w:tblGrid>
        <w:gridCol w:w="853"/>
        <w:gridCol w:w="748"/>
        <w:gridCol w:w="754"/>
        <w:gridCol w:w="228"/>
        <w:gridCol w:w="754"/>
        <w:gridCol w:w="127"/>
        <w:gridCol w:w="109"/>
        <w:gridCol w:w="109"/>
        <w:gridCol w:w="109"/>
        <w:gridCol w:w="228"/>
        <w:gridCol w:w="754"/>
        <w:gridCol w:w="127"/>
        <w:gridCol w:w="109"/>
        <w:gridCol w:w="109"/>
        <w:gridCol w:w="109"/>
        <w:gridCol w:w="228"/>
        <w:gridCol w:w="754"/>
        <w:gridCol w:w="127"/>
        <w:gridCol w:w="109"/>
        <w:gridCol w:w="109"/>
        <w:gridCol w:w="109"/>
        <w:gridCol w:w="208"/>
        <w:gridCol w:w="783"/>
        <w:gridCol w:w="163"/>
      </w:tblGrid>
      <w:tr>
        <w:trPr/>
        <w:tc>
          <w:tcPr>
            <w:tcW w:w="853"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0"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Thirty-Nine Weeks Ended</w:t>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May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May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May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May 31, 2025</w:t>
            </w:r>
          </w:p>
        </w:tc>
      </w:tr>
      <w:tr>
        <w:trPr/>
        <w:tc>
          <w:tcPr>
            <w:tcW w:w="235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segment operating income</w:t>
            </w:r>
          </w:p>
        </w:tc>
        <w:tc>
          <w:tcPr>
            <w:tcW w:w="228"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4"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23,030 </w:t>
            </w:r>
          </w:p>
        </w:tc>
        <w:tc>
          <w:tcPr>
            <w:tcW w:w="127"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4"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48,177 </w:t>
            </w:r>
          </w:p>
        </w:tc>
        <w:tc>
          <w:tcPr>
            <w:tcW w:w="127"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4"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94,352 </w:t>
            </w:r>
          </w:p>
        </w:tc>
        <w:tc>
          <w:tcPr>
            <w:tcW w:w="127"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3"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134,922 </w:t>
            </w:r>
          </w:p>
        </w:tc>
        <w:tc>
          <w:tcPr>
            <w:tcW w:w="163"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 net</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(1,779)</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(2,514)</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(5,284)</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(7,422)</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expense (income), net</w:t>
            </w:r>
          </w:p>
        </w:tc>
        <w:tc>
          <w:tcPr>
            <w:tcW w:w="98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365 </w:t>
            </w:r>
          </w:p>
        </w:tc>
        <w:tc>
          <w:tcPr>
            <w:tcW w:w="1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(2,704)</w:t>
            </w:r>
          </w:p>
        </w:tc>
        <w:tc>
          <w:tcPr>
            <w:tcW w:w="1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874 </w:t>
            </w:r>
          </w:p>
        </w:tc>
        <w:tc>
          <w:tcPr>
            <w:tcW w:w="1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(1,620)</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before income taxes</w:t>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24,444 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53,395 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98,762 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143,964 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income taxes</w:t>
            </w:r>
          </w:p>
        </w:tc>
        <w:tc>
          <w:tcPr>
            <w:tcW w:w="98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4,528 </w:t>
            </w:r>
          </w:p>
        </w:tc>
        <w:tc>
          <w:tcPr>
            <w:tcW w:w="1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13,715 </w:t>
            </w:r>
          </w:p>
        </w:tc>
        <w:tc>
          <w:tcPr>
            <w:tcW w:w="1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23,999 </w:t>
            </w:r>
          </w:p>
        </w:tc>
        <w:tc>
          <w:tcPr>
            <w:tcW w:w="1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36,720 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19,916 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39,680 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74,763 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107,244 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14. Shares Repurchased and Dividends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has two classes of common stock: Common Stock and Class B Common Stock. Each share of Common Stock is entitled to one vote, is freely transferable, and is entitled to a cash dividend equal to 125% of any cash dividend paid on each share of Class B Common Stock. Each share of Class B Common Stock is entitled to ten votes and can be converted to Common Stock on a share-for-share basis. However, until converted to Common Stock, shares of Class B Common Stock are not freely transferable. During the thirteen and thirty-nine weeks ended May 31, 2025, 5,000 shares and 36,860 shares, respectively, of Class B Common Stock were converted to Common Stock. No such conversions occurred during the thirty-nine weeks ended May 30, 2026.</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On October 28, 2025, the Company’s Board of Directors declared increased quarterly cash dividends of $0.365 per share of Common Stock and $0.292 per share of Class B Common Stock, up from $0.350 and $0.280 per share, respectively. The amount and timing of any future dividend payment is subject to the approval of the Board of Directors each quarter.</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On October 24, 2023, the Company’s Board of Directors authorized a new share repurchase program to repurchase up to $100.0 million of its outstanding shares of Common Stock, inclusive of the amount which remained available under the existing share repurchase program approved on October 18, 2021. On April 8, 2025, the Company’s Board of Directors authorized a new share repurchase program to repurchase up to $100.0 million of its outstanding shares of Common Stock, inclusive of the amount which remained available under the existing share repurchase program approved in 2023. Repurchases from time to time under the new program, if any, will be made in either the open market or in privately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6b3ec25769c64ca5a7099a2dcb8d1969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negotiated transactions. The timing, manner, price and amount of any repurchases will depend on a variety of factors, including economic and market conditions, the Company stock price, corporate liquidity requirements and priorities, applicable legal requirements and other factors. The share repurchase program has been funded to date with the Company’s available cash and will be funded in the future using the Company’s available cash or capacity under its Credit Agreement and may be suspended or discontinued at any time.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No shares were repurchased during the thirteen weeks ended May 30, 2026. During the thirty-nine weeks ended May 30, 2026 the Company repurchased 194,100 shares at an average price of $163.18 under the share repurchase program. During the thirteen and thirty-nine weeks ended May 31, 2025, the Company repurchased 75,973 and 142,578 shares, respectively, for an average price of $179.45 and $183.48, respectively, under the share repurchase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15. Related Party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During the thirteen and thirty-nine weeks ended May 30, 2026, the Company recognized $0.4 million and $1.2 million of revenue, respectively, with a company for which a member of the Company’s Board of Directors served as senior officer throughout such periods.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During the thirteen and thirty-nine weeks ended May 31, 2025, the Company recognized $0.4 million and $1.2 million of revenue, respectively, with a company for which a member of the Company’s Board of Directors served as a senior officer throughout such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6b3ec25769c64ca5a7099a2dcb8d1969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SAFE HARBOR FOR FORWARD-LOOKING STATEMENTS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This Quarterly Report on Form 10-Q and any documents incorporated by reference may contain forward-looking statements within the meaning of the federal securities laws that reflect the Company's current views with respect to future events and financial performance, including statements regarding the transaction between UniFirst Corporation (“we”, “our”, the “Company”, or “UniFirst”) and Cintas Corporation (“Parent” or “Cintas”) (the “Transaction”). Forward-looking statements contained in this Quarterly Report on Form 10-Q and any documents incorporated by reference are subject to the safe harbor created by the Private Securities Litigation Reform Act of 1995. Forward-looking statements may be identified by words such as “estimates,” “anticipates,” “projects,” “plans,” “expects,” “intends,” “believes,” “seeks,” “could,” “should,” “may,” “will,” “strategy,” “objective,” “assume,” “strive,” “design,” “assumption,” “vision” “drive,” or the negative versions thereof, and similar expressions and by the context in which they are used. Such forward-looking statements are based upon our current expectations and speak only as of the date made. Such statements are highly dependent upon a variety of risks, uncertainties and other important factors that could cause actual results to differ materially from those reflected in such forward-looking statements.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Transaction-related factors, among others, could cause actual results to differ materially from those expressed in or implied by forward-looking statements: the occurrence of any event, change, or other circumstance that could give rise to the right of one or both of the parties to terminate the definitive merger agreement between Cintas and UniFirst; the outcome of any legal proceedings that may be instituted against Cintas or UniFirst; the possibility that the Transaction does not close when expected or at all because required regulatory, shareholder, or other approvals and other conditions to closing are not received or satisfied on a timely basis or at all (and the risk that seeking or obtaining such approvals may result in the imposition of conditions that could adversely affect the combined company or the expected benefits of the Transaction); the risk that the benefits from the Transaction may not be fully realized or may take longer to realize than expected, including as a result of changes in, or problems arising from, general economic and market conditions, interest and exchange rates, monetary policy, trade policy (including tariff levels), laws and regulations and their enforcement, and the degree of competition in the geographic and business areas in which Cintas and UniFirst operate; any failure to promptly and effectively integrate the businesses of Cintas and UniFirst; the possibility that the Transaction may be more expensive to complete than anticipated, including as a result of unexpected factors or events; reputational risk and potential adverse reactions of Cintas’ or UniFirst’s customers, employees or other business partners, including those resulting from the announcement, pendency or completion of the Transaction; the dilution caused by Cintas’ issuance of additional shares of its capital stock in connection with the Transaction; changes in the trading price of Cintas’ or UniFirst’s capital stock; and the diversion of management’s attention and time to the Transaction from ongoing business operations and opportunities.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 factors include, but are not limited to, uncertainties caused by an economic recession or other adverse economic conditions, including, without limitation, as a result of elevated inflation or interest rates or extraordinary events or circumstances such as geopolitical conflicts like the conflicts between Russia and Ukraine and the United States and Iran and other disruption in the Middle East, and their impact on our customers’ businesses and workforce levels, disruptions of our business and operations, including limitations on, or closures of, our facilities, or the business and operations of our customers or suppliers in connection with extraordinary events or circumstances, uncertainties regarding our ability to consummate acquisitions and successfully integrate acquired businesses, and the performance of such businesses, uncertainties regarding any existing or newly-discovered expenses and liabilities related to environmental compliance and remediation, any adverse outcome of pending or future contingencies or claims, our ability to compete successfully without any significant degradation in our margin rates, seasonal and quarterly fluctuations in business levels, our ability to preserve positive labor relationships and avoid becoming the target of corporate labor unionization campaigns that could disrupt our business, the effect of currency fluctuations on our results of operations and financial condition, our dependence on third parties to supply us with raw materials, which such supply could be severely disrupted as a result of extraordinary events or circumstances such as the conflicts between Russia and Ukraine and the United States and Iran, any loss of key management or other personnel, increased costs as a result of any changes in federal, state, international or other laws, rules and regulations or governmental interpretation of such laws, rules and regulations, uncertainties regarding, or adverse impacts from continued high price levels of natural gas, electricity, fuel and labor or increases in such costs, the negative effect on our business from sharply depressed oil and natural gas prices, the continuing increase in domestic healthcare costs, increased workers’ compensation claim costs, increased healthcare claim costs, our ability to retain and grow our customer base, demand and prices for our products and services, fluctuations in our nuclear business, political or other instability, supply chain disruption or infection among our employees in Mexico and Nicaragua where our principal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6b3ec25769c64ca5a7099a2dcb8d1969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garment manufacturing plants are located, our ability to properly and efficiently design, construct, implement and operate a new enterprise resource planning (“ERP”) computer system, interruptions or failures of our information technology systems, including as a result of cyber-attacks, additional professional and internal costs necessary for compliance with any changes in or additional Securities and Exchange Commission (“SEC”), New York Stock Exchange and accounting or other rules, strikes and unemployment levels, our efforts to evaluate and potentially reduce internal costs, the impact of U.S. and foreign trade policies and tariffs or other impositions on imported goods on our business, results of operations and financial condition, our ability to successfully implement our business strategies and processes, including our capital allocation strategies, our ability to successfully remediate the material weakness in internal control over financial reporting disclosed in our Annual Report on Form 10-K for the year ended August 30, 2025 and the other factors described under “Part I, Item 1A. Risk Factors” and elsewhere in our Annual Report on Form 10-K for the year ended August 30, 2025 and in our other filings with the SEC, including, without limitation, under Part II, Item 1A. “Risk Factors” and elsewhere in this Quarterly Report on Form 10-Q. We undertake no obligation to update any forward-looking statements to reflect events or circumstances arising after the date on which they are made.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Business Overview</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UniFirst, a corporation organized under the laws of the Commonwealth of Massachusetts in 1950, together with its subsidiaries, is one of the leading providers of workplace uniforms and protective work wear clothing in North America. We design, manufacture, personalize, rent, clean, deliver, and sell a wide range of uniforms and protective clothing, including shirts, pants, jackets, coveralls, lab coats, smocks, aprons and specialized protective wear, such as flame resistant and high visibility garments. We also rent and sell industrial wiping products, floor mats, facility service products and other non-garment items, and provide restroom and cleaning supplies and first aid cabinet services and other safety supplies as well as provide certain safety training, to a variety of manufacturers, retailers and service companies. We serve businesses of all sizes across multiple industries and sectors. We provide our products and services to over 300,000 customer locations in the U.S., Canada and Europe.</w:t>
      </w:r>
    </w:p>
    <w:p>
      <w:pPr>
        <w:pStyle w:val="TextBody"/>
        <w:bidi w:val="0"/>
        <w:spacing w:lineRule="auto" w:line="288" w:before="0" w:after="240"/>
        <w:jc w:val="left"/>
        <w:rPr/>
      </w:pPr>
      <w:r>
        <w:rPr>
          <w:rFonts w:ascii="Times New Roman;serif" w:hAnsi="Times New Roman;serif"/>
          <w:b w:val="false"/>
          <w:color w:val="000000"/>
          <w:sz w:val="20"/>
        </w:rPr>
        <w:t>As mentioned and described in Note 13, “</w:t>
      </w:r>
      <w:hyperlink w:anchor="i6b3ec25769c64ca5a7099a2dcb8d1969_34">
        <w:r>
          <w:rPr>
            <w:rStyle w:val="InternetLink"/>
            <w:rFonts w:ascii="Times New Roman;serif" w:hAnsi="Times New Roman;serif"/>
            <w:b w:val="false"/>
            <w:color w:val="0000FF"/>
            <w:sz w:val="20"/>
            <w:u w:val="single"/>
          </w:rPr>
          <w:t>Segment Reporting</w:t>
        </w:r>
      </w:hyperlink>
      <w:r>
        <w:rPr>
          <w:rFonts w:ascii="Times New Roman;serif" w:hAnsi="Times New Roman;serif"/>
          <w:b w:val="false"/>
          <w:color w:val="000000"/>
          <w:sz w:val="20"/>
          <w:u w:val="single"/>
        </w:rPr>
        <w:t>,</w:t>
      </w:r>
      <w:r>
        <w:rPr>
          <w:color w:val="000000"/>
        </w:rPr>
        <w:t xml:space="preserve">” </w:t>
      </w:r>
      <w:r>
        <w:rPr>
          <w:rFonts w:ascii="Times New Roman;serif" w:hAnsi="Times New Roman;serif"/>
          <w:b w:val="false"/>
          <w:color w:val="000000"/>
          <w:sz w:val="20"/>
        </w:rPr>
        <w:t>beginning with the fourth quarter of fiscal 2025, we reorganized our business into three reportable operating segments based on the information reviewed by our Chief Executive Officer: Uniform &amp; Facility Service Solutions, First Aid &amp; Safety Solutions and Other. Refer to Note 13, “</w:t>
      </w:r>
      <w:hyperlink w:anchor="i6b3ec25769c64ca5a7099a2dcb8d1969_34">
        <w:r>
          <w:rPr>
            <w:rStyle w:val="InternetLink"/>
            <w:rFonts w:ascii="Times New Roman;serif" w:hAnsi="Times New Roman;serif"/>
            <w:b w:val="false"/>
            <w:color w:val="0000FF"/>
            <w:sz w:val="20"/>
            <w:u w:val="single"/>
          </w:rPr>
          <w:t>Segment Reporting</w:t>
        </w:r>
      </w:hyperlink>
      <w:r>
        <w:rPr>
          <w:color w:val="000000"/>
        </w:rPr>
        <w:t xml:space="preserve">” </w:t>
      </w:r>
      <w:r>
        <w:rPr>
          <w:rFonts w:ascii="Times New Roman;serif" w:hAnsi="Times New Roman;serif"/>
          <w:b w:val="false"/>
          <w:color w:val="000000"/>
          <w:sz w:val="20"/>
        </w:rPr>
        <w:t>to our Consolidated Financial Statements for our disclosure of segment information. We have recast certain prior period segment results to conform with the current presentation.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Uniform &amp; Facility Service Solutions segment consolidates the former Corporate, Manufacturing (“MFG”) and U.S. and Canadian Rental and Cleaning operating segments and includes our cleanroom operations, which was previously part of the Specialty Garments Rental and Cleaning (“Specialty Garments”) reporting segment. The Uniform &amp; Facility Service Solutions reporting segment designs, manufactures, purchases, rents, cleans, delivers and sells, uniforms and protective clothing and non-garment items in the U.S. and Canada. Certain operations of the Uniform &amp; Facility Service Solutions reporting segment are referred to by the Company as “industrial laundry operations” and we refer to the locations related to this reporting segment as our “industrial laundries”. Additionally, the Uniform &amp; Facility Service Solutions consists of our distribution center, sales and marketing, information systems, engineering, materials management, manufacturing planning, finance, budgeting, human resources, other general and administrative costs and interest expense. The segment, through the Company’s cleanroom operations, also purchases, rents, cleans, delivers and sells specialty garments and non-garment items primarily for cleanroom applications and provides cleanroom cleaning at limited customer locations.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renamed our First Aid reporting segment as the First Aid &amp; Safety Solutions reporting segment to better reflect the scope of services and products offered. The First Aid &amp; Safety Solutions reporting segment sells first aid cabinet services and other safety supplies, provides certain safety training and maintains wholesale distribution and pill packaging operations for non-prescription medicines.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Other reporting segment currently consists of our nuclear business, which was previously part of the Specialty Garments reporting segment with our cleanroom operations. The segment purchases, rents, cleans, delivers and sells, specialty garments and non-garment items primarily for nuclear applications.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Merger Agreement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On March 10, 2026, we entered into an Agreement and Plan of Merger (the “Merger Agreement”) with Cintas, Bruin Merger Sub I, Inc., a wholly owned subsidiary of Cintas (“Merger Sub Inc.”), and Bruin Merger Sub II, LLC, a wholly owned subsidiary of Cintas (“Merger Sub LLC”).</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6b3ec25769c64ca5a7099a2dcb8d1969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Pursuant to the terms and conditions of the Merger Agreement, at the effective time of the merger of the Company with and into Merger Sub Inc., each share of (i) our common stock, par value $0.10 per share, and (ii) our Class B common stock, par value $0.10 per share, (clauses (i) and (ii) “Common Stock”) issued and outstanding immediately prior to the effective time of this merger (other than shares of our Common Stock held in our treasury or held directly by a subsidiary of the Company, Cintas, Merger Sub Inc. or Merger Sub LLC) will convert into the right to receive: $155.00 in cash and 0.7720 shares of fully paid and nonassessable Cintas common stock. No fractional shares of Cintas common stock will be issued in this merger, and holders of our Common Stock will receive cash in lieu of any fractional shares of Cintas common stock.</w:t>
      </w:r>
    </w:p>
    <w:p>
      <w:pPr>
        <w:pStyle w:val="TextBody"/>
        <w:bidi w:val="0"/>
        <w:spacing w:lineRule="auto" w:line="288" w:before="0" w:after="240"/>
        <w:jc w:val="left"/>
        <w:rPr/>
      </w:pPr>
      <w:r>
        <w:rPr>
          <w:rFonts w:ascii="Times New Roman;serif" w:hAnsi="Times New Roman;serif"/>
          <w:b w:val="false"/>
          <w:color w:val="000000"/>
          <w:sz w:val="20"/>
        </w:rPr>
        <w:t xml:space="preserve">For more information, refer to our Current Reports on Form 8-K filed with the SEC on March 11, 2026 and June 12, 2026 and Note 1, </w:t>
      </w:r>
      <w:hyperlink w:anchor="i6b3ec25769c64ca5a7099a2dcb8d1969_34">
        <w:r>
          <w:rPr>
            <w:rStyle w:val="InternetLink"/>
            <w:rFonts w:ascii="Times New Roman;serif" w:hAnsi="Times New Roman;serif"/>
            <w:b w:val="false"/>
            <w:color w:val="0000FF"/>
            <w:sz w:val="20"/>
            <w:u w:val="single"/>
          </w:rPr>
          <w:t>Summary of Significant Accounting Policies</w:t>
        </w:r>
      </w:hyperlink>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Factors Affecting Our Business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general, we believe that our results of operations are not dependent on reasonable changes in the inflation rate. Historically, we have been able to manage the impacts of more significant changes in inflation rates through our customer relationships, customer agreements that generally provide for price increases and continued focus on improvements in operational productivity. However, the inflationary environment in recent years had a negative impact on our margins, including increased energy costs for our vehicles and our plants, and increased wages in the labor markets in which we compete. While inflation has moderated recently, a period of sustained inflation could pressure our margins in future periods. Adverse economic conditions resulting from inflationary pressures, U.S. Federal Reserve actions, including elevated interest rates and/or increases in interest rates, geopolitical issues, U.S. and foreign tariffs or other impositions on imported goods or other causes are difficult to predict and may have a material adverse impact on our business, results of operations and financial condition.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Please see Part I, Item 1A. “Risk Factors” in our Annual Report on Form 10-K for the year ended August 30, 2025 and Part II, Item 1A. “Risk Factors” in this Quarterly Report on Form 10-Q for an additional discussion of risks and potential risks of adverse economic conditions on our business, financial condition and results of operations, including, without limitation, as a result of inflation, elevated interest rates and/or increases in interest rates, geopolitical issues, U.S. and foreign tariffs or other impositions on imported goods.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discussion should be read in conjunction with the accompanying consolidated financial statements and related notes. The discussion below highlights the significant factors affecting our results of operations for the thirteen and thirty-nine weeks ended May 30, 2026 compared to the corresponding prior year periods.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General</w:t>
      </w:r>
    </w:p>
    <w:p>
      <w:pPr>
        <w:pStyle w:val="TextBody"/>
        <w:bidi w:val="0"/>
        <w:spacing w:lineRule="auto" w:line="288" w:before="0" w:after="240"/>
        <w:jc w:val="left"/>
        <w:rPr/>
      </w:pPr>
      <w:r>
        <w:rPr>
          <w:rFonts w:ascii="Times New Roman;serif" w:hAnsi="Times New Roman;serif"/>
          <w:b w:val="false"/>
          <w:color w:val="000000"/>
          <w:sz w:val="20"/>
        </w:rPr>
        <w:t>We derive our revenues from the services described under “</w:t>
      </w:r>
      <w:hyperlink w:anchor="i6b3ec25769c64ca5a7099a2dcb8d1969_82">
        <w:r>
          <w:rPr>
            <w:rStyle w:val="InternetLink"/>
            <w:rFonts w:ascii="Times New Roman;serif" w:hAnsi="Times New Roman;serif"/>
            <w:b w:val="false"/>
            <w:color w:val="0000FF"/>
            <w:sz w:val="20"/>
            <w:u w:val="single"/>
          </w:rPr>
          <w:t>Business Overview</w:t>
        </w:r>
      </w:hyperlink>
      <w:r>
        <w:rPr>
          <w:color w:val="000000"/>
        </w:rPr>
        <w:t xml:space="preserve">” </w:t>
      </w:r>
      <w:r>
        <w:rPr>
          <w:rFonts w:ascii="Times New Roman;serif" w:hAnsi="Times New Roman;serif"/>
          <w:b w:val="false"/>
          <w:color w:val="000000"/>
          <w:sz w:val="20"/>
        </w:rPr>
        <w:t>above.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Cost of revenues include the amortization of rental merchandise in service and merchandise costs related to direct sales as well as labor and other production, service and delivery costs, and distribution costs associated with operating our Uniform &amp; Facility Service Solutions operations, Other segment facilities, and First Aid &amp; Safety Solutions locations. Selling and administrative costs include costs related to our sales and marketing functions as well as general and administrative costs associated with our corporate offices, non-operating environmental sites and operating locations including information systems, engineering, materials management, manufacturing planning, finance, budgeting, and human resources.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fiscal 2022, we initiated a multi-year ERP project focused on modernizing our enterprise systems. Early phases focused on master data management and finance capabilities, with subsequent phases focused on supply chain and procurement automation and technology. We believe this initiative will become the foundation of our systems technology footprint and will integrate and complement the capabilities of our other core systems. We expect the ERP system, along with its enhanced supply chain and procurement capabilities, to reduce operating costs and contribute to lower customer churn. Such benefits are expected to be delivered through enhanced inventory utilization and vendor management, improved response times to customer orders and more efficient back-end processes. As of May 30, 2026, we capitalized $62.3 million related to our ERP project. We refer to our ERP project as our “Key Initiative”.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We have incurred costs associated with the proposed merger with Cintas, consisting primarily of legal, advisory and other professional service fees (“Transaction-related Costs”), which have been included within selling and administrative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6b3ec25769c64ca5a7099a2dcb8d1969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expenses in the Consolidated Statements of Income. During the thirteen weeks ended May 30, 2026, we recognized $20.7 million of Transaction-related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Thirteen weeks ended May 30, 2026 compared with thirteen weeks ended May 31, 2025</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Revenues</w:t>
      </w:r>
    </w:p>
    <w:tbl>
      <w:tblPr>
        <w:tblW w:w="8272" w:type="dxa"/>
        <w:jc w:val="left"/>
        <w:tblInd w:w="0" w:type="dxa"/>
        <w:tblLayout w:type="fixed"/>
        <w:tblCellMar>
          <w:top w:w="28" w:type="dxa"/>
          <w:left w:w="28" w:type="dxa"/>
          <w:bottom w:w="28" w:type="dxa"/>
          <w:right w:w="28" w:type="dxa"/>
        </w:tblCellMar>
      </w:tblPr>
      <w:tblGrid>
        <w:gridCol w:w="1134"/>
        <w:gridCol w:w="998"/>
        <w:gridCol w:w="1002"/>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03"/>
        <w:gridCol w:w="203"/>
        <w:gridCol w:w="418"/>
      </w:tblGrid>
      <w:tr>
        <w:trPr/>
        <w:tc>
          <w:tcPr>
            <w:tcW w:w="1134"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 thousands, except percentages)</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May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May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w:t>
              <w:br/>
              <w:t>Change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br/>
              <w:t>Change</w:t>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Uniform &amp; Facility Service Solutions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575,747 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554,331 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21,416 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4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First Aid &amp; Safety Solutions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41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41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consolidated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634,402 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610,778 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23,624 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41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increase in consolidated revenues of 3.9% during the thirteen weeks ended May 30, 2026, compared to the prior year comparable period was due primarily to growth in our Uniform &amp; Facility Service Solutions of 3.9%. The increase in revenues in our Uniform &amp; Facility Service Solutions was primarily due to organic growth of 3.6%, which was driven by solid new account sales and improved customer retention. The effect of the Canadian dollar exchange rate resulted in changes in our revenues of 0.2%.</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First Aid &amp; Safety Solutions revenues in the thirteen weeks ended May 30, 2026 increased 3.4% compared to the prior year comparable period was primarily driven by double-digit growth in our van business. Overall growth rates in the quarter were negatively impacted by the timing of certain direct sale shipments in our wholesale distribution business that we expect to recognize in the fourth quarter of fiscal 2026. </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the thirteen weeks ended May 30, 2026, Other segment revenues increased 4.4% compared to the prior year comparable period due primarily to favorable foreign currency exchange rates and growth in our European operations. These favorable impacts were partially offset by the continued wind-down of a large refurbishment project. Results for the Other segment are often influenced by seasonality, the timing and duration of customer power reactor outages, and project-based activities.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Cost of revenues</w:t>
      </w:r>
    </w:p>
    <w:tbl>
      <w:tblPr>
        <w:tblW w:w="8071" w:type="dxa"/>
        <w:jc w:val="center"/>
        <w:tblInd w:w="0" w:type="dxa"/>
        <w:tblLayout w:type="fixed"/>
        <w:tblCellMar>
          <w:top w:w="28" w:type="dxa"/>
          <w:left w:w="28" w:type="dxa"/>
          <w:bottom w:w="28" w:type="dxa"/>
          <w:right w:w="28" w:type="dxa"/>
        </w:tblCellMar>
      </w:tblPr>
      <w:tblGrid>
        <w:gridCol w:w="944"/>
        <w:gridCol w:w="831"/>
        <w:gridCol w:w="834"/>
        <w:gridCol w:w="211"/>
        <w:gridCol w:w="826"/>
        <w:gridCol w:w="271"/>
        <w:gridCol w:w="109"/>
        <w:gridCol w:w="109"/>
        <w:gridCol w:w="109"/>
        <w:gridCol w:w="211"/>
        <w:gridCol w:w="826"/>
        <w:gridCol w:w="271"/>
        <w:gridCol w:w="109"/>
        <w:gridCol w:w="109"/>
        <w:gridCol w:w="109"/>
        <w:gridCol w:w="211"/>
        <w:gridCol w:w="721"/>
        <w:gridCol w:w="109"/>
        <w:gridCol w:w="109"/>
        <w:gridCol w:w="109"/>
        <w:gridCol w:w="109"/>
        <w:gridCol w:w="203"/>
        <w:gridCol w:w="203"/>
        <w:gridCol w:w="418"/>
      </w:tblGrid>
      <w:tr>
        <w:trPr/>
        <w:tc>
          <w:tcPr>
            <w:tcW w:w="944"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 thousands, except percentages)</w:t>
            </w:r>
          </w:p>
        </w:tc>
        <w:tc>
          <w:tcPr>
            <w:tcW w:w="130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May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May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w:t>
              <w:br/>
              <w:t>Change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br/>
              <w:t>Change</w:t>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399,676 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385,189 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14,487 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4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of Revenues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63.0</w:t>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63.1</w:t>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Consolidated cost of revenues increased during the thirteen weeks ended May 30, 2026 but remained flat as a percentage of revenues compared to the prior year comparable period. The increase was primarily due to higher payroll costs, a $1.8 million benefit in other production costs recognized during the prior year comparable period and higher merchandise costs. Payroll and merchandise costs each decreased as a percentage of revenues compared to the prior year comparable period, reflecting strong top-line performance.</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Selling and administrative expenses</w:t>
      </w:r>
    </w:p>
    <w:tbl>
      <w:tblPr>
        <w:tblW w:w="8612" w:type="dxa"/>
        <w:jc w:val="center"/>
        <w:tblInd w:w="0" w:type="dxa"/>
        <w:tblLayout w:type="fixed"/>
        <w:tblCellMar>
          <w:top w:w="28" w:type="dxa"/>
          <w:left w:w="28" w:type="dxa"/>
          <w:bottom w:w="28" w:type="dxa"/>
          <w:right w:w="28" w:type="dxa"/>
        </w:tblCellMar>
      </w:tblPr>
      <w:tblGrid>
        <w:gridCol w:w="1102"/>
        <w:gridCol w:w="970"/>
        <w:gridCol w:w="973"/>
        <w:gridCol w:w="211"/>
        <w:gridCol w:w="826"/>
        <w:gridCol w:w="271"/>
        <w:gridCol w:w="109"/>
        <w:gridCol w:w="109"/>
        <w:gridCol w:w="109"/>
        <w:gridCol w:w="211"/>
        <w:gridCol w:w="826"/>
        <w:gridCol w:w="271"/>
        <w:gridCol w:w="109"/>
        <w:gridCol w:w="109"/>
        <w:gridCol w:w="109"/>
        <w:gridCol w:w="211"/>
        <w:gridCol w:w="721"/>
        <w:gridCol w:w="109"/>
        <w:gridCol w:w="109"/>
        <w:gridCol w:w="109"/>
        <w:gridCol w:w="109"/>
        <w:gridCol w:w="255"/>
        <w:gridCol w:w="256"/>
        <w:gridCol w:w="418"/>
      </w:tblGrid>
      <w:tr>
        <w:trPr/>
        <w:tc>
          <w:tcPr>
            <w:tcW w:w="110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 thousands, except percentages)</w:t>
            </w:r>
          </w:p>
        </w:tc>
        <w:tc>
          <w:tcPr>
            <w:tcW w:w="130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May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May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Dollar</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Percent</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administrative expenses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175,925 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142,690 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33,235 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4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of Revenues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27.7</w:t>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23.4</w:t>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increase in selling and administrative costs during the thirteen weeks ended May 30, 2026 compared to the prior year comparable period was due primarily to $20.7 million of Transaction-related Costs. The increase was further driven by higher payroll and selling-related expenses, healthcare claims expenses and continued investments to accelerate growth and support our digital transformation. Selling and administrative expenses in the current period were also impacted 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6b3ec25769c64ca5a7099a2dcb8d1969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increased costs associated with our Key Initiative, which totaled $5.2 million during the current year period compared to $1.0 million in the prior year comparable period.</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Depreciation and amortization</w:t>
      </w:r>
    </w:p>
    <w:tbl>
      <w:tblPr>
        <w:tblW w:w="7756" w:type="dxa"/>
        <w:jc w:val="center"/>
        <w:tblInd w:w="0" w:type="dxa"/>
        <w:tblLayout w:type="fixed"/>
        <w:tblCellMar>
          <w:top w:w="28" w:type="dxa"/>
          <w:left w:w="28" w:type="dxa"/>
          <w:bottom w:w="28" w:type="dxa"/>
          <w:right w:w="28" w:type="dxa"/>
        </w:tblCellMar>
      </w:tblPr>
      <w:tblGrid>
        <w:gridCol w:w="944"/>
        <w:gridCol w:w="831"/>
        <w:gridCol w:w="834"/>
        <w:gridCol w:w="211"/>
        <w:gridCol w:w="721"/>
        <w:gridCol w:w="271"/>
        <w:gridCol w:w="109"/>
        <w:gridCol w:w="109"/>
        <w:gridCol w:w="109"/>
        <w:gridCol w:w="211"/>
        <w:gridCol w:w="721"/>
        <w:gridCol w:w="271"/>
        <w:gridCol w:w="109"/>
        <w:gridCol w:w="109"/>
        <w:gridCol w:w="109"/>
        <w:gridCol w:w="211"/>
        <w:gridCol w:w="616"/>
        <w:gridCol w:w="109"/>
        <w:gridCol w:w="109"/>
        <w:gridCol w:w="109"/>
        <w:gridCol w:w="109"/>
        <w:gridCol w:w="203"/>
        <w:gridCol w:w="203"/>
        <w:gridCol w:w="418"/>
      </w:tblGrid>
      <w:tr>
        <w:trPr/>
        <w:tc>
          <w:tcPr>
            <w:tcW w:w="944"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 thousands, except percentages)</w:t>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May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May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w:t>
              <w:br/>
              <w:t>Change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br/>
              <w:t>Change</w:t>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35,771 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34,722 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4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of Revenues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 increased by 3.0% during the thirteen weeks ended May 30, 2026 compared to the prior year comparable period, due primarily to continued investment in operating facilities and technology to improve our efficiency and support our continued future growth.</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Operating income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For the thirteen weeks ended May 30, 2026 and May 31, 2025, changes in our revenues and costs as discussed above resulted in the following changes in our operating income and margin:</w:t>
      </w:r>
    </w:p>
    <w:tbl>
      <w:tblPr>
        <w:tblW w:w="8745" w:type="dxa"/>
        <w:jc w:val="center"/>
        <w:tblInd w:w="0" w:type="dxa"/>
        <w:tblLayout w:type="fixed"/>
        <w:tblCellMar>
          <w:top w:w="28" w:type="dxa"/>
          <w:left w:w="28" w:type="dxa"/>
          <w:bottom w:w="28" w:type="dxa"/>
          <w:right w:w="28" w:type="dxa"/>
        </w:tblCellMar>
      </w:tblPr>
      <w:tblGrid>
        <w:gridCol w:w="1134"/>
        <w:gridCol w:w="998"/>
        <w:gridCol w:w="1002"/>
        <w:gridCol w:w="211"/>
        <w:gridCol w:w="721"/>
        <w:gridCol w:w="271"/>
        <w:gridCol w:w="109"/>
        <w:gridCol w:w="109"/>
        <w:gridCol w:w="109"/>
        <w:gridCol w:w="211"/>
        <w:gridCol w:w="721"/>
        <w:gridCol w:w="271"/>
        <w:gridCol w:w="109"/>
        <w:gridCol w:w="109"/>
        <w:gridCol w:w="109"/>
        <w:gridCol w:w="211"/>
        <w:gridCol w:w="796"/>
        <w:gridCol w:w="109"/>
        <w:gridCol w:w="109"/>
        <w:gridCol w:w="109"/>
        <w:gridCol w:w="109"/>
        <w:gridCol w:w="344"/>
        <w:gridCol w:w="346"/>
        <w:gridCol w:w="418"/>
      </w:tblGrid>
      <w:tr>
        <w:trPr/>
        <w:tc>
          <w:tcPr>
            <w:tcW w:w="1134"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 thousands, except percentages)</w:t>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May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May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w:t>
              <w:br/>
              <w:t>Change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br/>
              <w:t>Change</w:t>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Uniform &amp; Facility Service Solutions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19,665 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43,243 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(23,578)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(54.5)</w:t>
            </w:r>
          </w:p>
        </w:tc>
        <w:tc>
          <w:tcPr>
            <w:tcW w:w="4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First Aid &amp; Safety Solutions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(1,548)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(394.9)</w:t>
            </w:r>
          </w:p>
        </w:tc>
        <w:tc>
          <w:tcPr>
            <w:tcW w:w="41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4,913 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4,409 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41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23,030 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48,177 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(25,147)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(52.2)</w:t>
            </w:r>
          </w:p>
        </w:tc>
        <w:tc>
          <w:tcPr>
            <w:tcW w:w="41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margin</w:t>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Other income, net</w:t>
      </w:r>
    </w:p>
    <w:tbl>
      <w:tblPr>
        <w:tblW w:w="7852" w:type="dxa"/>
        <w:jc w:val="center"/>
        <w:tblInd w:w="0" w:type="dxa"/>
        <w:tblLayout w:type="fixed"/>
        <w:tblCellMar>
          <w:top w:w="28" w:type="dxa"/>
          <w:left w:w="28" w:type="dxa"/>
          <w:bottom w:w="28" w:type="dxa"/>
          <w:right w:w="28" w:type="dxa"/>
        </w:tblCellMar>
      </w:tblPr>
      <w:tblGrid>
        <w:gridCol w:w="944"/>
        <w:gridCol w:w="831"/>
        <w:gridCol w:w="834"/>
        <w:gridCol w:w="231"/>
        <w:gridCol w:w="759"/>
        <w:gridCol w:w="119"/>
        <w:gridCol w:w="109"/>
        <w:gridCol w:w="109"/>
        <w:gridCol w:w="109"/>
        <w:gridCol w:w="231"/>
        <w:gridCol w:w="759"/>
        <w:gridCol w:w="119"/>
        <w:gridCol w:w="109"/>
        <w:gridCol w:w="109"/>
        <w:gridCol w:w="109"/>
        <w:gridCol w:w="211"/>
        <w:gridCol w:w="616"/>
        <w:gridCol w:w="109"/>
        <w:gridCol w:w="109"/>
        <w:gridCol w:w="109"/>
        <w:gridCol w:w="109"/>
        <w:gridCol w:w="344"/>
        <w:gridCol w:w="346"/>
        <w:gridCol w:w="418"/>
      </w:tblGrid>
      <w:tr>
        <w:trPr/>
        <w:tc>
          <w:tcPr>
            <w:tcW w:w="944"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 thousands, except percentages)</w:t>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May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May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Dollar</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Percent</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(1,779)</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(2,514)</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(29.2)</w:t>
            </w:r>
          </w:p>
        </w:tc>
        <w:tc>
          <w:tcPr>
            <w:tcW w:w="4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(2,704)</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(113.5)</w:t>
            </w:r>
          </w:p>
        </w:tc>
        <w:tc>
          <w:tcPr>
            <w:tcW w:w="41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net</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(1,414)</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(5,218)</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(72.9)</w:t>
            </w:r>
          </w:p>
        </w:tc>
        <w:tc>
          <w:tcPr>
            <w:tcW w:w="41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Other income, net, for the thirteen weeks ended May 30, 2026 decreased compared to the prior year comparable period, primarily due to $2.8 million in proceeds from the sale of a property in the prior year period. In addition, lower cash reserves and interest rates impacted interest income, net, and contributed to the decline in other income, net.</w:t>
      </w:r>
    </w:p>
    <w:p>
      <w:pPr>
        <w:pStyle w:val="TextBody"/>
        <w:bidi w:val="0"/>
        <w:spacing w:lineRule="auto" w:line="268" w:before="0" w:after="240"/>
        <w:jc w:val="left"/>
        <w:rPr>
          <w:rFonts w:ascii="Times New Roman;serif" w:hAnsi="Times New Roman;serif"/>
          <w:b w:val="false"/>
          <w:i/>
          <w:color w:val="000000"/>
          <w:sz w:val="20"/>
        </w:rPr>
      </w:pPr>
      <w:r>
        <w:rPr>
          <w:rFonts w:ascii="Times New Roman;serif" w:hAnsi="Times New Roman;serif"/>
          <w:b w:val="false"/>
          <w:i/>
          <w:color w:val="000000"/>
          <w:sz w:val="20"/>
        </w:rPr>
        <w:t>Provision for income taxes</w:t>
      </w:r>
    </w:p>
    <w:tbl>
      <w:tblPr>
        <w:tblW w:w="7918" w:type="dxa"/>
        <w:jc w:val="center"/>
        <w:tblInd w:w="0" w:type="dxa"/>
        <w:tblLayout w:type="fixed"/>
        <w:tblCellMar>
          <w:top w:w="28" w:type="dxa"/>
          <w:left w:w="28" w:type="dxa"/>
          <w:bottom w:w="28" w:type="dxa"/>
          <w:right w:w="28" w:type="dxa"/>
        </w:tblCellMar>
      </w:tblPr>
      <w:tblGrid>
        <w:gridCol w:w="944"/>
        <w:gridCol w:w="831"/>
        <w:gridCol w:w="834"/>
        <w:gridCol w:w="213"/>
        <w:gridCol w:w="623"/>
        <w:gridCol w:w="274"/>
        <w:gridCol w:w="109"/>
        <w:gridCol w:w="109"/>
        <w:gridCol w:w="109"/>
        <w:gridCol w:w="211"/>
        <w:gridCol w:w="721"/>
        <w:gridCol w:w="271"/>
        <w:gridCol w:w="109"/>
        <w:gridCol w:w="109"/>
        <w:gridCol w:w="109"/>
        <w:gridCol w:w="211"/>
        <w:gridCol w:w="691"/>
        <w:gridCol w:w="109"/>
        <w:gridCol w:w="109"/>
        <w:gridCol w:w="109"/>
        <w:gridCol w:w="109"/>
        <w:gridCol w:w="293"/>
        <w:gridCol w:w="293"/>
        <w:gridCol w:w="418"/>
      </w:tblGrid>
      <w:tr>
        <w:trPr/>
        <w:tc>
          <w:tcPr>
            <w:tcW w:w="944"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 thousands, except percentages)</w:t>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May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May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Dollar</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Percent</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4,528 </w:t>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13,715 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w:t>
            </w:r>
          </w:p>
        </w:tc>
        <w:tc>
          <w:tcPr>
            <w:tcW w:w="4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income tax rate</w:t>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18.5</w:t>
            </w:r>
          </w:p>
        </w:tc>
        <w:tc>
          <w:tcPr>
            <w:tcW w:w="27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decrease in the effective tax rate for the thirteen weeks ended May 30, 2026 as compared to the corresponding period in the prior year was primarily due to provision-to-return adjustments associated with income tax credits recognized upon finalization of the prior-year U.S. federal income tax return. These adjustments reflect refinement of estimates used in the prior year tax provision and resulted in a benefit of approximately $3.1 million.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6b3ec25769c64ca5a7099a2dcb8d1969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Thirty-nine weeks ended May 30, 2026 compared with Thirty-nine weeks ended May 31, 2025</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Revenues</w:t>
      </w:r>
    </w:p>
    <w:tbl>
      <w:tblPr>
        <w:tblW w:w="8677" w:type="dxa"/>
        <w:jc w:val="left"/>
        <w:tblInd w:w="0" w:type="dxa"/>
        <w:tblLayout w:type="fixed"/>
        <w:tblCellMar>
          <w:top w:w="28" w:type="dxa"/>
          <w:left w:w="28" w:type="dxa"/>
          <w:bottom w:w="28" w:type="dxa"/>
          <w:right w:w="28" w:type="dxa"/>
        </w:tblCellMar>
      </w:tblPr>
      <w:tblGrid>
        <w:gridCol w:w="1134"/>
        <w:gridCol w:w="998"/>
        <w:gridCol w:w="1002"/>
        <w:gridCol w:w="211"/>
        <w:gridCol w:w="976"/>
        <w:gridCol w:w="109"/>
        <w:gridCol w:w="109"/>
        <w:gridCol w:w="109"/>
        <w:gridCol w:w="109"/>
        <w:gridCol w:w="211"/>
        <w:gridCol w:w="976"/>
        <w:gridCol w:w="109"/>
        <w:gridCol w:w="109"/>
        <w:gridCol w:w="109"/>
        <w:gridCol w:w="109"/>
        <w:gridCol w:w="211"/>
        <w:gridCol w:w="721"/>
        <w:gridCol w:w="109"/>
        <w:gridCol w:w="109"/>
        <w:gridCol w:w="109"/>
        <w:gridCol w:w="109"/>
        <w:gridCol w:w="255"/>
        <w:gridCol w:w="256"/>
        <w:gridCol w:w="418"/>
      </w:tblGrid>
      <w:tr>
        <w:trPr/>
        <w:tc>
          <w:tcPr>
            <w:tcW w:w="1134"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 thousands, except percentages)</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May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May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w:t>
              <w:br/>
              <w:t>Change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br/>
              <w:t>Change</w:t>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Uniform &amp; Facility Service Solutions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1,710,447 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1,658,490 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4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First Aid &amp; Safety Solutions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consolidated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1,878,225 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1,817,905 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increase in consolidated revenues of 3.3% during the thirty-nine weeks ended May 30, 2026 compared to the prior year comparable period was due primarily to the growth in our Uniform &amp; Facility Service Solutions segment of 3.1%. The increase in revenues in our Uniform &amp; Facility Service Solutions segment was primarily due to organic growth of 3.0%. The Uniform &amp; Facility Service Solutions organic growth was driven by solid new account sales and improved customer retention. The effect of the Canadian dollar exchange rate resulted in changes in our revenues of 0.1%.</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First Aid &amp; Safety Solutions revenues in the thirty-nine weeks ended May 30, 2026 increased 10.0% compared to the prior year comparable due primarily to double-digit growth in our van business.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the thirty-nine weeks ended May 30, 2026, Other segment revenues were relatively flat compared to the prior year comparable period. Favorable foreign currency exchange rates contributed positively to revenue; however, these benefits were largely offset by the wind-down of a large refurbishment project and a lower number of reactor outages due to the cyclical nature of the nuclear industry. Results for the Other segment are often influenced by seasonality, the timing and duration of customer outages, and project-based activities.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Cost of revenues</w:t>
      </w:r>
    </w:p>
    <w:tbl>
      <w:tblPr>
        <w:tblW w:w="8371" w:type="dxa"/>
        <w:jc w:val="left"/>
        <w:tblInd w:w="0" w:type="dxa"/>
        <w:tblLayout w:type="fixed"/>
        <w:tblCellMar>
          <w:top w:w="28" w:type="dxa"/>
          <w:left w:w="28" w:type="dxa"/>
          <w:bottom w:w="28" w:type="dxa"/>
          <w:right w:w="28" w:type="dxa"/>
        </w:tblCellMar>
      </w:tblPr>
      <w:tblGrid>
        <w:gridCol w:w="944"/>
        <w:gridCol w:w="831"/>
        <w:gridCol w:w="834"/>
        <w:gridCol w:w="211"/>
        <w:gridCol w:w="976"/>
        <w:gridCol w:w="271"/>
        <w:gridCol w:w="109"/>
        <w:gridCol w:w="109"/>
        <w:gridCol w:w="109"/>
        <w:gridCol w:w="211"/>
        <w:gridCol w:w="976"/>
        <w:gridCol w:w="271"/>
        <w:gridCol w:w="109"/>
        <w:gridCol w:w="109"/>
        <w:gridCol w:w="109"/>
        <w:gridCol w:w="211"/>
        <w:gridCol w:w="721"/>
        <w:gridCol w:w="109"/>
        <w:gridCol w:w="109"/>
        <w:gridCol w:w="109"/>
        <w:gridCol w:w="109"/>
        <w:gridCol w:w="203"/>
        <w:gridCol w:w="203"/>
        <w:gridCol w:w="418"/>
      </w:tblGrid>
      <w:tr>
        <w:trPr/>
        <w:tc>
          <w:tcPr>
            <w:tcW w:w="944"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 thousands, except percentages)</w:t>
            </w:r>
          </w:p>
        </w:tc>
        <w:tc>
          <w:tcPr>
            <w:tcW w:w="145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May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May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w:t>
              <w:br/>
              <w:t>Change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br/>
              <w:t>Change</w:t>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1,196,391 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1,160,388 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4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of Revenues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63.7</w:t>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increase in consolidated cost of revenues of 3.1% during the thirty-nine weeks ended May 30, 2026 compared to the prior year comparable period was primarily attributable to investments in service staffing to drive continued improvement in our customer retention and higher healthcare claims expenses. These increases were partially offset by lower merchandise costs as a percentage of revenues compared to the prior year comparable period.</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Selling and administrative expenses</w:t>
      </w:r>
    </w:p>
    <w:tbl>
      <w:tblPr>
        <w:tblW w:w="8612" w:type="dxa"/>
        <w:jc w:val="left"/>
        <w:tblInd w:w="0" w:type="dxa"/>
        <w:tblLayout w:type="fixed"/>
        <w:tblCellMar>
          <w:top w:w="28" w:type="dxa"/>
          <w:left w:w="28" w:type="dxa"/>
          <w:bottom w:w="28" w:type="dxa"/>
          <w:right w:w="28" w:type="dxa"/>
        </w:tblCellMar>
      </w:tblPr>
      <w:tblGrid>
        <w:gridCol w:w="1102"/>
        <w:gridCol w:w="970"/>
        <w:gridCol w:w="973"/>
        <w:gridCol w:w="211"/>
        <w:gridCol w:w="826"/>
        <w:gridCol w:w="271"/>
        <w:gridCol w:w="109"/>
        <w:gridCol w:w="109"/>
        <w:gridCol w:w="109"/>
        <w:gridCol w:w="211"/>
        <w:gridCol w:w="826"/>
        <w:gridCol w:w="271"/>
        <w:gridCol w:w="109"/>
        <w:gridCol w:w="109"/>
        <w:gridCol w:w="109"/>
        <w:gridCol w:w="211"/>
        <w:gridCol w:w="721"/>
        <w:gridCol w:w="109"/>
        <w:gridCol w:w="109"/>
        <w:gridCol w:w="109"/>
        <w:gridCol w:w="109"/>
        <w:gridCol w:w="255"/>
        <w:gridCol w:w="256"/>
        <w:gridCol w:w="418"/>
      </w:tblGrid>
      <w:tr>
        <w:trPr/>
        <w:tc>
          <w:tcPr>
            <w:tcW w:w="110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 thousands, except percentages)</w:t>
            </w:r>
          </w:p>
        </w:tc>
        <w:tc>
          <w:tcPr>
            <w:tcW w:w="130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May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May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w:t>
              <w:br/>
              <w:t>Change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br/>
              <w:t>Change</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administrative expenses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481,144 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418,119 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4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of Revenues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25.6</w:t>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increase in selling and administrative costs of 15.1% during the thirty-nine weeks ended May 30, 2026 compared to the prior year comparable period was due primarily to approximately $20.7 million of Transaction-related Costs and $2.0 million of shareholder engagement and proxy-related costs incurred in connection with our 2026 Annual Meeting of Shareholders. The increase was further driven by higher payroll and selling-related expenses, healthcare claims expenses and investments to accelerate growth and support our digital transformation. Selling and administrative expenses in the current year were also impacted by increased costs associated with our Key Initiative, which totaled $10.5 million during the current year period compared to $5.4 million in the prior year comparable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6b3ec25769c64ca5a7099a2dcb8d1969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Depreciation and amortization</w:t>
      </w:r>
    </w:p>
    <w:tbl>
      <w:tblPr>
        <w:tblW w:w="7966" w:type="dxa"/>
        <w:jc w:val="left"/>
        <w:tblInd w:w="0" w:type="dxa"/>
        <w:tblLayout w:type="fixed"/>
        <w:tblCellMar>
          <w:top w:w="28" w:type="dxa"/>
          <w:left w:w="28" w:type="dxa"/>
          <w:bottom w:w="28" w:type="dxa"/>
          <w:right w:w="28" w:type="dxa"/>
        </w:tblCellMar>
      </w:tblPr>
      <w:tblGrid>
        <w:gridCol w:w="944"/>
        <w:gridCol w:w="831"/>
        <w:gridCol w:w="834"/>
        <w:gridCol w:w="211"/>
        <w:gridCol w:w="826"/>
        <w:gridCol w:w="271"/>
        <w:gridCol w:w="109"/>
        <w:gridCol w:w="109"/>
        <w:gridCol w:w="109"/>
        <w:gridCol w:w="211"/>
        <w:gridCol w:w="826"/>
        <w:gridCol w:w="271"/>
        <w:gridCol w:w="109"/>
        <w:gridCol w:w="109"/>
        <w:gridCol w:w="109"/>
        <w:gridCol w:w="211"/>
        <w:gridCol w:w="616"/>
        <w:gridCol w:w="109"/>
        <w:gridCol w:w="109"/>
        <w:gridCol w:w="109"/>
        <w:gridCol w:w="109"/>
        <w:gridCol w:w="203"/>
        <w:gridCol w:w="203"/>
        <w:gridCol w:w="418"/>
      </w:tblGrid>
      <w:tr>
        <w:trPr/>
        <w:tc>
          <w:tcPr>
            <w:tcW w:w="944"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 thousands, except percentages)</w:t>
            </w:r>
          </w:p>
        </w:tc>
        <w:tc>
          <w:tcPr>
            <w:tcW w:w="130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May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May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w:t>
              <w:br/>
              <w:t>Change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br/>
              <w:t>Change</w:t>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106,338 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104,476 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4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of Revenues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 remained relatively consistent during the thirty-nine weeks ended May 30, 2026 compared to the prior year comparable period.</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Operating income</w:t>
      </w:r>
    </w:p>
    <w:tbl>
      <w:tblPr>
        <w:tblW w:w="8850" w:type="dxa"/>
        <w:jc w:val="left"/>
        <w:tblInd w:w="0" w:type="dxa"/>
        <w:tblLayout w:type="fixed"/>
        <w:tblCellMar>
          <w:top w:w="28" w:type="dxa"/>
          <w:left w:w="28" w:type="dxa"/>
          <w:bottom w:w="28" w:type="dxa"/>
          <w:right w:w="28" w:type="dxa"/>
        </w:tblCellMar>
      </w:tblPr>
      <w:tblGrid>
        <w:gridCol w:w="1134"/>
        <w:gridCol w:w="998"/>
        <w:gridCol w:w="1002"/>
        <w:gridCol w:w="211"/>
        <w:gridCol w:w="721"/>
        <w:gridCol w:w="271"/>
        <w:gridCol w:w="109"/>
        <w:gridCol w:w="109"/>
        <w:gridCol w:w="109"/>
        <w:gridCol w:w="211"/>
        <w:gridCol w:w="826"/>
        <w:gridCol w:w="271"/>
        <w:gridCol w:w="109"/>
        <w:gridCol w:w="109"/>
        <w:gridCol w:w="109"/>
        <w:gridCol w:w="211"/>
        <w:gridCol w:w="796"/>
        <w:gridCol w:w="109"/>
        <w:gridCol w:w="109"/>
        <w:gridCol w:w="109"/>
        <w:gridCol w:w="109"/>
        <w:gridCol w:w="344"/>
        <w:gridCol w:w="346"/>
        <w:gridCol w:w="418"/>
      </w:tblGrid>
      <w:tr>
        <w:trPr/>
        <w:tc>
          <w:tcPr>
            <w:tcW w:w="1134"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 thousands, except percentages)</w:t>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May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May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w:t>
              <w:br/>
              <w:t>Change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br/>
              <w:t>Change</w:t>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Uniform &amp; Facility Service Solutions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86,377 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121,935 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w:t>
            </w:r>
          </w:p>
        </w:tc>
        <w:tc>
          <w:tcPr>
            <w:tcW w:w="4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First Aid &amp; Safety Solutions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(3,056)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(904.2)</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11,031 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94,352 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134,922 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3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margin</w:t>
            </w:r>
          </w:p>
        </w:tc>
        <w:tc>
          <w:tcPr>
            <w:tcW w:w="932"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271" w:type="dxa"/>
            <w:tcBorders>
              <w:top w:val="doub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27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Other income, net</w:t>
      </w:r>
    </w:p>
    <w:tbl>
      <w:tblPr>
        <w:tblW w:w="7852" w:type="dxa"/>
        <w:jc w:val="left"/>
        <w:tblInd w:w="0" w:type="dxa"/>
        <w:tblLayout w:type="fixed"/>
        <w:tblCellMar>
          <w:top w:w="28" w:type="dxa"/>
          <w:left w:w="28" w:type="dxa"/>
          <w:bottom w:w="28" w:type="dxa"/>
          <w:right w:w="28" w:type="dxa"/>
        </w:tblCellMar>
      </w:tblPr>
      <w:tblGrid>
        <w:gridCol w:w="944"/>
        <w:gridCol w:w="831"/>
        <w:gridCol w:w="834"/>
        <w:gridCol w:w="231"/>
        <w:gridCol w:w="759"/>
        <w:gridCol w:w="119"/>
        <w:gridCol w:w="109"/>
        <w:gridCol w:w="109"/>
        <w:gridCol w:w="109"/>
        <w:gridCol w:w="231"/>
        <w:gridCol w:w="759"/>
        <w:gridCol w:w="119"/>
        <w:gridCol w:w="109"/>
        <w:gridCol w:w="109"/>
        <w:gridCol w:w="109"/>
        <w:gridCol w:w="211"/>
        <w:gridCol w:w="616"/>
        <w:gridCol w:w="109"/>
        <w:gridCol w:w="109"/>
        <w:gridCol w:w="109"/>
        <w:gridCol w:w="109"/>
        <w:gridCol w:w="344"/>
        <w:gridCol w:w="346"/>
        <w:gridCol w:w="418"/>
      </w:tblGrid>
      <w:tr>
        <w:trPr/>
        <w:tc>
          <w:tcPr>
            <w:tcW w:w="944"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 thousands, except percentages)</w:t>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May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May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w:t>
              <w:br/>
              <w:t>Change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br/>
              <w:t>Change</w:t>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(5,284)</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(7,422)</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(28.8)</w:t>
            </w:r>
          </w:p>
        </w:tc>
        <w:tc>
          <w:tcPr>
            <w:tcW w:w="4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(1,620)</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(154.0)</w:t>
            </w:r>
          </w:p>
        </w:tc>
        <w:tc>
          <w:tcPr>
            <w:tcW w:w="41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net</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(4,410)</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(9,042)</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(51.2)</w:t>
            </w:r>
          </w:p>
        </w:tc>
        <w:tc>
          <w:tcPr>
            <w:tcW w:w="41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Other income, net during the thirty-nine weeks ended May 30, 2026 decreased as compared to the prior year comparable period, primarily due to $2.8 million in proceeds from the sale of a property during the prior year comparable period. Also, lower cash reserves and lower interest rates, which reduced interest income, contributed to the reduced other income, net.</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Provision for income taxes</w:t>
      </w:r>
    </w:p>
    <w:tbl>
      <w:tblPr>
        <w:tblW w:w="8116" w:type="dxa"/>
        <w:jc w:val="left"/>
        <w:tblInd w:w="0" w:type="dxa"/>
        <w:tblLayout w:type="fixed"/>
        <w:tblCellMar>
          <w:top w:w="28" w:type="dxa"/>
          <w:left w:w="28" w:type="dxa"/>
          <w:bottom w:w="28" w:type="dxa"/>
          <w:right w:w="28" w:type="dxa"/>
        </w:tblCellMar>
      </w:tblPr>
      <w:tblGrid>
        <w:gridCol w:w="944"/>
        <w:gridCol w:w="831"/>
        <w:gridCol w:w="834"/>
        <w:gridCol w:w="211"/>
        <w:gridCol w:w="721"/>
        <w:gridCol w:w="271"/>
        <w:gridCol w:w="109"/>
        <w:gridCol w:w="109"/>
        <w:gridCol w:w="109"/>
        <w:gridCol w:w="211"/>
        <w:gridCol w:w="721"/>
        <w:gridCol w:w="271"/>
        <w:gridCol w:w="109"/>
        <w:gridCol w:w="109"/>
        <w:gridCol w:w="109"/>
        <w:gridCol w:w="211"/>
        <w:gridCol w:w="796"/>
        <w:gridCol w:w="109"/>
        <w:gridCol w:w="109"/>
        <w:gridCol w:w="109"/>
        <w:gridCol w:w="109"/>
        <w:gridCol w:w="293"/>
        <w:gridCol w:w="293"/>
        <w:gridCol w:w="418"/>
      </w:tblGrid>
      <w:tr>
        <w:trPr/>
        <w:tc>
          <w:tcPr>
            <w:tcW w:w="944"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 thousands, except percentages)</w:t>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May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May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w:t>
              <w:br/>
              <w:t>Change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br/>
              <w:t>Change</w:t>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23,999 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36,720 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w:t>
            </w:r>
          </w:p>
        </w:tc>
        <w:tc>
          <w:tcPr>
            <w:tcW w:w="4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income tax rate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24.3</w:t>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decrease in the effective tax rate for the thirty-nine weeks ended May 30, 2026 compared to the corresponding period in the prior year was primarily due to provision-to-return adjustments associated with income tax credits recognized upon finalization of the prior-year U.S. federal income tax return. These adjustments reflect refinement of estimates used in the prior year tax provision and resulted in a benefit of approximately $3.1 million. </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General</w:t>
      </w:r>
    </w:p>
    <w:p>
      <w:pPr>
        <w:pStyle w:val="TextBody"/>
        <w:bidi w:val="0"/>
        <w:spacing w:lineRule="auto" w:line="288" w:before="0" w:after="240"/>
        <w:jc w:val="left"/>
        <w:rPr/>
      </w:pPr>
      <w:r>
        <w:rPr>
          <w:rFonts w:ascii="Times New Roman;serif" w:hAnsi="Times New Roman;serif"/>
          <w:b w:val="false"/>
          <w:color w:val="000000"/>
          <w:sz w:val="20"/>
        </w:rPr>
        <w:t>Cash and cash equivalents, and short-term investments totaled $168.9 million as of May 30, 2026, a decrease of $40.3 million from $209.2 million</w:t>
      </w:r>
      <w:r>
        <w:rPr>
          <w:color w:val="000000"/>
        </w:rPr>
        <w:t xml:space="preserve"> </w:t>
      </w:r>
      <w:r>
        <w:rPr>
          <w:rFonts w:ascii="Times New Roman;serif" w:hAnsi="Times New Roman;serif"/>
          <w:b w:val="false"/>
          <w:color w:val="000000"/>
          <w:sz w:val="20"/>
        </w:rPr>
        <w:t>as of August 30, 2025. The decrease in cash and cash equivalents and short-term investments was largely driven by our continued investment in our business with capital expenditures totaling $107.0 million, $32.7 million of share repurchases, $18.8 million of dividend payments and $15.8 million paid for acquisitions. These decreases were partially offset by $139.4 million of cash provided from operating activities during the thirty-nine weeks ended May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6b3ec25769c64ca5a7099a2dcb8d1969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On April 8, 2025, our Board of Directors authorized a new share repurchase program to repurchase up to $100.0 million of our outstanding shares of Common Stock, inclusive of the amount which remained available under the existing share repurchase program approved in 2023.</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Pursuant to the share repurchase program, we repurchased 194,100 shares of our Common Stock for an aggregate of approximately $31.7 million during the thirty-nine weeks ended May 30, 2026. As of May 30, 2026, we had $8.9 million remaining to repurchase shares under the share repurchase program.</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believe, although there can be no assurance, that our current cash and cash equivalents, our cash generated from future operations and amounts available under our Credit Agreement (as defined below) will be sufficient to meet our current anticipated working capital and capital expenditure requirements for at least the next 12 months and will enable us to manage the impacts of inflation and address related liquidity needs.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Cash flows provided by operating activities have historically been the primary source of our liquidity. We generally use these cash flows to fund most, if not all, of our operations, capital expenditure and acquisition activities as well as dividends on our Common Stock and stock repurchases. We may also use cash flows provided by operating activities, as well as proceeds from long-term debt, to fund growth and acquisition opportunities, as well as other cash requirements.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Sources and uses of cash flows for the thirty-nine weeks ended May 30, 2026 and May 31, 2025, respectively, are summarized as follows:</w:t>
      </w:r>
    </w:p>
    <w:tbl>
      <w:tblPr>
        <w:tblW w:w="9816" w:type="dxa"/>
        <w:jc w:val="center"/>
        <w:tblInd w:w="0" w:type="dxa"/>
        <w:tblLayout w:type="fixed"/>
        <w:tblCellMar>
          <w:top w:w="28" w:type="dxa"/>
          <w:left w:w="28" w:type="dxa"/>
          <w:bottom w:w="28" w:type="dxa"/>
          <w:right w:w="28" w:type="dxa"/>
        </w:tblCellMar>
      </w:tblPr>
      <w:tblGrid>
        <w:gridCol w:w="1564"/>
        <w:gridCol w:w="1375"/>
        <w:gridCol w:w="1380"/>
        <w:gridCol w:w="211"/>
        <w:gridCol w:w="826"/>
        <w:gridCol w:w="109"/>
        <w:gridCol w:w="109"/>
        <w:gridCol w:w="109"/>
        <w:gridCol w:w="109"/>
        <w:gridCol w:w="211"/>
        <w:gridCol w:w="826"/>
        <w:gridCol w:w="109"/>
        <w:gridCol w:w="109"/>
        <w:gridCol w:w="109"/>
        <w:gridCol w:w="109"/>
        <w:gridCol w:w="211"/>
        <w:gridCol w:w="796"/>
        <w:gridCol w:w="109"/>
        <w:gridCol w:w="109"/>
        <w:gridCol w:w="109"/>
        <w:gridCol w:w="109"/>
        <w:gridCol w:w="344"/>
        <w:gridCol w:w="346"/>
        <w:gridCol w:w="418"/>
      </w:tblGrid>
      <w:tr>
        <w:trPr/>
        <w:tc>
          <w:tcPr>
            <w:tcW w:w="1564"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 thousands, except percentages)</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May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May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w:t>
              <w:br/>
              <w:t>Change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br/>
              <w:t>Change</w:t>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139,350 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196,481 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(57,131)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w:t>
            </w:r>
          </w:p>
        </w:tc>
        <w:tc>
          <w:tcPr>
            <w:tcW w:w="4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(122,045)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(57,921)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increase in cash and cash equivalents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(40,276)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(90,615)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Net Cash Provided by Operating Activities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net cash provided by operating activities during the thirty-nine weeks ended May 30, 2026 decreased compared to the prior year comparable period due primarily to unfavorable changes in rental merchandise in service of $19.7 million, inventories of $11.0 million, and lower profitability.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unfavorable impact from rental merchandise in service was driven primarily by the installation of garments for several large customers during the thirty-nine weeks ended May 30, 2026. The increase in inventories was driven primarily by the timing of shipments.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addition, operating cash flow was negatively impacted by a $7.0 million increase in accounts receivable comparable to the prior year period. The increase in accounts receivable was due primarily to higher revenue volumes.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These unfavorable impacts were partially offset by a $10.8 million increase in accounts payable and a $4.0 million increase in accrued liabilities, both due primarily to the timing of cash payments.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Net Cash Used in Investing Activities</w:t>
      </w:r>
    </w:p>
    <w:p>
      <w:pPr>
        <w:pStyle w:val="TextBody"/>
        <w:bidi w:val="0"/>
        <w:spacing w:lineRule="auto" w:line="288" w:before="0" w:after="240"/>
        <w:jc w:val="left"/>
        <w:rPr/>
      </w:pPr>
      <w:r>
        <w:rPr>
          <w:rFonts w:ascii="Times New Roman;serif" w:hAnsi="Times New Roman;serif"/>
          <w:b w:val="false"/>
          <w:color w:val="000000"/>
          <w:sz w:val="20"/>
        </w:rPr>
        <w:t>The net cash used in investing activities during the thirty-nine weeks ended May 30, 2026 increased as compared to the prior year comparable period due primarily to lower net investment in certificates of deposit of $13.5 million and an increase</w:t>
      </w:r>
      <w:r>
        <w:rPr>
          <w:color w:val="212529"/>
        </w:rPr>
        <w:t xml:space="preserve"> </w:t>
      </w:r>
      <w:r>
        <w:rPr>
          <w:rFonts w:ascii="Times New Roman;serif" w:hAnsi="Times New Roman;serif"/>
          <w:b w:val="false"/>
          <w:color w:val="212529"/>
          <w:sz w:val="20"/>
        </w:rPr>
        <w:t xml:space="preserve">in cash paid for acquisitions of </w:t>
      </w:r>
      <w:r>
        <w:rPr>
          <w:rFonts w:ascii="Times New Roman;serif" w:hAnsi="Times New Roman;serif"/>
          <w:b w:val="false"/>
          <w:color w:val="000000"/>
          <w:sz w:val="20"/>
        </w:rPr>
        <w:t xml:space="preserve">$10.4 million, which included the settlement of $0.5 million in acquisition-related holdbacks related to recent acquisitions. </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Net Cash Used in Financing Activities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net cash used in financing activities during the thirty-nine weeks ended May 30, 2026 increased as compared to the prior year comparable period due primarily to a $7.1 million increase in the repurchase of Common Stock and $1.7 million in acquisition-related holdbacks settled more than three months after the acquisition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6b3ec25769c64ca5a7099a2dcb8d1969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Long-term Debt and Borrowing Capacity</w:t>
      </w:r>
    </w:p>
    <w:p>
      <w:pPr>
        <w:pStyle w:val="TextBody"/>
        <w:bidi w:val="0"/>
        <w:spacing w:lineRule="auto" w:line="288" w:before="0" w:after="240"/>
        <w:jc w:val="left"/>
        <w:rPr/>
      </w:pPr>
      <w:r>
        <w:rPr>
          <w:rFonts w:ascii="Times New Roman;serif" w:hAnsi="Times New Roman;serif"/>
          <w:b w:val="false"/>
          <w:color w:val="000000"/>
          <w:sz w:val="20"/>
        </w:rPr>
        <w:t>See Note 11, “</w:t>
      </w:r>
      <w:hyperlink w:anchor="i6b3ec25769c64ca5a7099a2dcb8d1969_34">
        <w:r>
          <w:rPr>
            <w:rStyle w:val="InternetLink"/>
            <w:rFonts w:ascii="Times New Roman;serif" w:hAnsi="Times New Roman;serif"/>
            <w:b w:val="false"/>
            <w:color w:val="0000FF"/>
            <w:sz w:val="20"/>
            <w:u w:val="single"/>
          </w:rPr>
          <w:t>Long-Term Debt</w:t>
        </w:r>
      </w:hyperlink>
      <w:r>
        <w:rPr>
          <w:color w:val="000000"/>
        </w:rPr>
        <w:t xml:space="preserve">” </w:t>
      </w:r>
      <w:r>
        <w:rPr>
          <w:rFonts w:ascii="Times New Roman;serif" w:hAnsi="Times New Roman;serif"/>
          <w:b w:val="false"/>
          <w:color w:val="000000"/>
          <w:sz w:val="20"/>
        </w:rPr>
        <w:t>to our Consolidated Financial Statements included in this Quarterly Report on Form 10-Q for more information on long-term debt and borrowing capacity.</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Derivative Instruments and Hedging Activities</w:t>
      </w:r>
    </w:p>
    <w:p>
      <w:pPr>
        <w:pStyle w:val="TextBody"/>
        <w:bidi w:val="0"/>
        <w:spacing w:lineRule="auto" w:line="288" w:before="0" w:after="240"/>
        <w:jc w:val="left"/>
        <w:rPr/>
      </w:pPr>
      <w:r>
        <w:rPr>
          <w:rFonts w:ascii="Times New Roman;serif" w:hAnsi="Times New Roman;serif"/>
          <w:b w:val="false"/>
          <w:color w:val="000000"/>
          <w:sz w:val="20"/>
        </w:rPr>
        <w:t>See Item 3. “</w:t>
      </w:r>
      <w:hyperlink w:anchor="i6b3ec25769c64ca5a7099a2dcb8d1969_112">
        <w:r>
          <w:rPr>
            <w:rStyle w:val="InternetLink"/>
            <w:rFonts w:ascii="Times New Roman;serif" w:hAnsi="Times New Roman;serif"/>
            <w:b w:val="false"/>
            <w:color w:val="0000FF"/>
            <w:sz w:val="20"/>
            <w:u w:val="single"/>
          </w:rPr>
          <w:t>Quantitative and Qualitative Disclosures About Market Risk</w:t>
        </w:r>
      </w:hyperlink>
      <w:r>
        <w:rPr>
          <w:color w:val="000000"/>
        </w:rPr>
        <w:t xml:space="preserve">” </w:t>
      </w:r>
      <w:r>
        <w:rPr>
          <w:rFonts w:ascii="Times New Roman;serif" w:hAnsi="Times New Roman;serif"/>
          <w:b w:val="false"/>
          <w:color w:val="000000"/>
          <w:sz w:val="20"/>
        </w:rPr>
        <w:t>in this Quarterly Report on Form 10-Q for information regarding our derivative instruments and hedging activities.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Environmental and Legal Contingencies</w:t>
      </w:r>
    </w:p>
    <w:p>
      <w:pPr>
        <w:pStyle w:val="TextBody"/>
        <w:bidi w:val="0"/>
        <w:spacing w:lineRule="auto" w:line="288" w:before="0" w:after="240"/>
        <w:jc w:val="left"/>
        <w:rPr/>
      </w:pPr>
      <w:r>
        <w:rPr>
          <w:rFonts w:ascii="Times New Roman;serif" w:hAnsi="Times New Roman;serif"/>
          <w:b w:val="false"/>
          <w:color w:val="000000"/>
          <w:sz w:val="20"/>
        </w:rPr>
        <w:t>We are involved with environmental investigation, monitoring and remediation activities at certain sites. In addition, from time to time, we are also subject to legal and regulatory proceedings and claims arising from the conduct of our business operations, including but not limited to, personal injury, customer contract, employment claims and environmental and tax matters as described. We maintain insurance coverage providing indemnification against many of such claims, and we do not expect, although there can be no assurance, that we will sustain any material loss as a result thereof. Refer to Note 9, “</w:t>
      </w:r>
      <w:hyperlink w:anchor="i6b3ec25769c64ca5a7099a2dcb8d1969_34">
        <w:r>
          <w:rPr>
            <w:rStyle w:val="InternetLink"/>
            <w:rFonts w:ascii="Times New Roman;serif" w:hAnsi="Times New Roman;serif"/>
            <w:b w:val="false"/>
            <w:color w:val="0000FF"/>
            <w:sz w:val="20"/>
            <w:u w:val="single"/>
          </w:rPr>
          <w:t>Commitments and Contingencies</w:t>
        </w:r>
      </w:hyperlink>
      <w:r>
        <w:rPr>
          <w:rFonts w:ascii="Times New Roman;serif" w:hAnsi="Times New Roman;serif"/>
          <w:b w:val="false"/>
          <w:color w:val="000000"/>
          <w:sz w:val="20"/>
        </w:rPr>
        <w:t>,” to the Consolidated Financial Statements, as well as Part II, Item 1A. “Risk Factors” below and in our Annual Report on Form 10-K for the year ended August 30, 2025, for further discussion.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addition, in the fourth quarter of fiscal 2022, the Mexican federal tax authority issued a tax assessment on our subsidiary in Mexico for fiscal 2016 import taxes, value added taxes and custom processing fees of over $17.0 million, plus surcharges, fines and penalties of over $67.7 million for a total assessment of over $84.7 million. We challenged the validity of the tax assessment through an appeal process. In the first quarter of fiscal 2025, the Federal Tax Court in Mexico made a determination partially in our favor. Following the Federal Tax Court’s determination, we filed a constitutional action before the Federal Administrative Court. In addition, the federal tax authority appealed the determination of the Federal Tax Court. While we are unable to ascertain the ultimate outcome of this matter, based on the information currently available, we believe that a loss with respect to this matter is neither probable nor remote. Given the uncertainty associated with the ultimate resolution of this matter, we are unable to reasonably assess an estimate or range of estimates of any potential losses.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While it is impossible for us to ascertain the ultimate legal and financial liability with respect to contingent liabilities, including lawsuits and environmental contingencies, we believe that the aggregate amount of such liabilities, if any, in excess of amounts covered by insurance have been properly accrued in accordance with accounting principles under U.S. GAAP. It is possible, however, that the future financial position and/or results of operations for any particular future period could be materially affected by changes in our assumptions or strategies related to these contingencies or changes out of our control.</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Contractual Obligations and Other Commercial Commitments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of May 30, 2026, there were no material changes to our contractual obligations that were disclosed in our Annual Report on Form 10-K for the year ended August 30, 2025. As of May 30, 2026, we did not have any off-balance sheet arrangements.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discussion of our financial condition and results of operations is based upon the Consolidated Financial Statements, which have been prepared in conformity with U.S. GAAP. As such, management is required to make certain estimates, judgments and assumptions that are believed to be reasonable based on the information available. These estimates and assumptions affect the reported amount of assets and liabilities, revenues and expenses, and disclosure of contingent assets and liabilities at the date of the financial statements. Actual results may differ from these estimates under different assumptions or conditions.</w:t>
      </w:r>
    </w:p>
    <w:p>
      <w:pPr>
        <w:pStyle w:val="TextBody"/>
        <w:bidi w:val="0"/>
        <w:spacing w:lineRule="auto" w:line="288" w:before="0" w:after="240"/>
        <w:jc w:val="left"/>
        <w:rPr/>
      </w:pPr>
      <w:r>
        <w:rPr>
          <w:rFonts w:ascii="Times New Roman;serif" w:hAnsi="Times New Roman;serif"/>
          <w:b w:val="false"/>
          <w:color w:val="000000"/>
          <w:sz w:val="20"/>
        </w:rPr>
        <w:t>Critical accounting estimates are defined as those that are reflective of significant judgments and uncertainties, the most important and pervasive accounting estimates used and areas most sensitive to material changes from external factors. The critical accounting estimates that we believe affect our more significant judgments and estimates used in the preparation of our Consolidated Financial Statements presented in this report are described in Part II, Item 7. “</w:t>
      </w:r>
      <w:hyperlink w:anchor="i6b3ec25769c64ca5a7099a2dcb8d1969_82">
        <w:r>
          <w:rPr>
            <w:rStyle w:val="InternetLink"/>
            <w:rFonts w:ascii="Times New Roman;serif" w:hAnsi="Times New Roman;serif"/>
            <w:b w:val="false"/>
            <w:color w:val="0000FF"/>
            <w:sz w:val="20"/>
            <w:u w:val="single"/>
          </w:rPr>
          <w:t>Management’s Discussion and Analysis of Financial Condition and Results of Operations</w:t>
        </w:r>
      </w:hyperlink>
      <w:r>
        <w:rPr>
          <w:color w:val="000000"/>
        </w:rPr>
        <w:t xml:space="preserve">” </w:t>
      </w:r>
      <w:r>
        <w:rPr>
          <w:rFonts w:ascii="Times New Roman;serif" w:hAnsi="Times New Roman;serif"/>
          <w:b w:val="false"/>
          <w:color w:val="000000"/>
          <w:sz w:val="20"/>
        </w:rPr>
        <w:t xml:space="preserve">and in the Notes to the Consolidated Financial Statements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6b3ec25769c64ca5a7099a2dcb8d1969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that are each included in our Annual Report on Form 10-K for the year ended August 30, 2025. There have been no significant changes in our critical accounting estimates since the year ended August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0" w:after="240"/>
        <w:jc w:val="left"/>
        <w:rPr/>
      </w:pPr>
      <w:r>
        <w:rPr>
          <w:rFonts w:ascii="Times New Roman;serif" w:hAnsi="Times New Roman;serif"/>
          <w:b w:val="false"/>
          <w:color w:val="000000"/>
          <w:sz w:val="20"/>
        </w:rPr>
        <w:t>See Note 1, “</w:t>
      </w:r>
      <w:hyperlink w:anchor="i6b3ec25769c64ca5a7099a2dcb8d1969_34">
        <w:r>
          <w:rPr>
            <w:rStyle w:val="InternetLink"/>
            <w:rFonts w:ascii="Times New Roman;serif" w:hAnsi="Times New Roman;serif"/>
            <w:b w:val="false"/>
            <w:color w:val="0000FF"/>
            <w:sz w:val="20"/>
            <w:u w:val="single"/>
          </w:rPr>
          <w:t>Summary of Significant Accounting Policies</w:t>
        </w:r>
      </w:hyperlink>
      <w:r>
        <w:rPr>
          <w:color w:val="000000"/>
        </w:rPr>
        <w:t xml:space="preserve">” </w:t>
      </w:r>
      <w:r>
        <w:rPr>
          <w:rFonts w:ascii="Times New Roman;serif" w:hAnsi="Times New Roman;serif"/>
          <w:b w:val="false"/>
          <w:color w:val="000000"/>
          <w:sz w:val="20"/>
        </w:rPr>
        <w:t>to our Consolidated Financial Statements included in this Quarterly Report on Form 10-Q for more information on recently implemented and issued accounting standards.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Foreign Currency Exchange Risk</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We have determined that all of our foreign subsidiaries operate primarily in local currencies that represent the functional currencies of such subsidiaries. All assets and liabilities of our foreign subsidiaries are translated into U.S. dollars using the exchange rate prevailing at the balance sheet date. The effects of exchange rate fluctuations on the translation of assets and liabilities are recorded as a component of shareholders’ equity. Revenues and expenses are translated at the average exchange rates in effect during each month of the fiscal year.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a result, our financial condition and operating results are affected by fluctuations in the value of the U.S. dollar relative to foreign currencies. Revenues denominated in currencies other than the U.S. dollar represented approximately 7.5% and 7.4% of total consolidated revenues for the thirteen and thirty-nine weeks ended May 30, 2026, respectively. Total assets denominated in currencies other than the U.S. dollar represented approximately 7.2% and 7.0% of total consolidated assets as of May 30, 2026 and August 30, 2025, respectively.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If exchange rates had increased or decreased by 10% from the actual rates in effect during the thirteen and thirty-nine weeks ended May 30, 2026, our revenues would have increased or decreased by approximately $4.8 million and $13.9 million, respectively. Similarly, a 10% change in exchange rates as of May 30, 2026 would have increased or decreased total assets by approximately $20.3 million.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August 2021, we entered into twenty forward contracts to exchange CAD for U.S. dollars at fixed exchange rates in order to manage our exposure related to certain forecasted CAD denominated sales of one of our subsidiaries. The hedged transactions are specified as the first amount of CAD denominated revenues invoiced by one of our domestic subsidiaries each fiscal quarter, beginning in the first fiscal quarter of 2022 and continuing through the fourth fiscal quarter of 2026. In total, we will sell approximately 14.1 million CAD at an average Canadian-dollar exchange rate of 0.7861 over these quarterly periods. We concluded that the forward contracts met the criteria to qualify as a cash flow hedge under U.S. GAAP.</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of May 30, 2026, we had forward contracts with a notional value of approximately 0.5 million CAD outstanding which were recorded at the fair value of the contracts in prepaid expenses and other current assets with a corresponding gain of a nominal amount in accumulated other comprehensive loss, which was recorded net of tax. The amount recorded in prepaid expenses and other current assets as of May 30, 2026, as well as the amounts reclassified from accumulated other comprehensive loss to revenue for the thirteen and thirty-nine weeks ended May 30, 2026, were all nominal. The gain on these forward contracts that resulted in a decrease to accumulated other comprehensive loss as of May 30, 2026 is expected to be reclassified to revenues prior to their maturity on August 29, 2026.</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Other than the forward contracts, discussed above, we do not operate a hedging program to mitigate the effect of a significant change in the value of the functional currencies of our foreign subsidiaries, which include the Canadian dollar, euro, British pound, Mexican peso and Nicaraguan cordoba, as compared to the U.S. dollar. Any losses or gains resulting from unhedged foreign currency transactions, including exchange rate fluctuations on intercompany accounts are reported as transaction losses (gains) in our other income, net. The intercompany payables and receivables are denominated in Canadian dollars, euros, British pounds, Mexican pesos and Nicaraguan cordobas. During the thirteen and thirty-nine weeks ended May 30, 2026, transaction gains included in other income, net were approximately $0.9 million and $0.7 million, respectively. If exchange rates had increased or decreased by 10% during the thirteen and thirty-nine weeks ended May 30, 2026, we would have recognized exchange gains or losses of approximately $0.4 million for both periods.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6b3ec25769c64ca5a7099a2dcb8d1969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Interest Rate Sensitivity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are exposed to market risk from changes in interest rates, which may adversely affect our financial position, results of operations and cash flows. In seeking to minimize the risks from interest rate fluctuations, we manage exposures through our operating and financing activities. We are exposed to interest rate risk primarily through borrowings under the Credit Agreement. During the thirteen weeks ended May 30, 2026, we had no outstanding borrowings under the Credit Agreement. Under the Credit Agreement, we borrow funds at variable interest rates based on, at our election, the SOFR rate or a base rate, plus in each case a spread based on our consolidated funded debt ratio. To the extent we have borrowings outstanding under the Credit Agreement, changes in interest rates result in changes in our interest expense.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Please see Item 1A. “Risk Factors” in our Annual Report on Form 10-K for the year ended August 30, 2025 for an additional discussion of risks and potential risks on our business, financial performance and the market price of our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Disclosure Controls and Procedures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required by Rule 13a-15 under the Securities Exchange Act of 1934, as amended (the “Exchange Act”), we carried out an evaluation under the supervision and with the participation of our management, including our Chief Executive Officer and Chief Financial Officer, of the effectiveness of the design and operation of our disclosure controls and procedures as of the end of the period covered by this report. Based upon their evaluation, our Chief Executive Officer and Chief Financial Officer concluded that, solely as a result of the material weakness previously identified by management and described in our Annual Report on Form 10-K for the year ended August 30, 2025, our disclosure controls and procedures were not effective to ensure that material information relating to the Company required to be disclosed by the Company in reports we file or submit under the Exchange Act is recorded, processed, summarized and reported within the time periods specified in SEC rules and forms and to ensure that such information is accumulated and communicated to management, including our Chief Executive Officer and Chief Financial Officer, as appropriate to allow timely decisions regarding required disclosure. In designing and evaluating our disclosure controls and procedures, our management recognized that any controls and procedures, no matter how well designed and operated, can provide only reasonable assurances of achieving the desired control objectives, and management necessarily was required to apply our judgment in designing and evaluating the controls and procedures. We continue to review our disclosure controls and procedures, and our internal control over financial reporting, and may from time to time make changes aimed at enhancing their effectiveness and to ensure that our systems evolve with our business.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Changes in Internal Control over Financial Reporting</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Other than the remediation measures with respect to the material weakness described below, there were no changes in our internal control over financial reporting during the third quarter of fiscal 2026 that have materially affected, or that are reasonably likely to materially affect, our internal control over financial reporting.</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Previously Identified Material Weakness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described in Part II, Item 9A of our Annual Report on Form 10-K for the year ended August 30, 2025, we previously identified a material weakness related to our CRM system which affected revenue and receivables as well as a group of legacy applications which affected revenue and receivables, supply inventory and merchandise in service. Consequently, our automated and manual business process controls that rely upon information from our IT systems were also deemed ineffective because they could have been adversely impacted.</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Remediation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Our management is committed to maintaining a strong internal control environment. In response to the material weakness described in Part II, Item 9A of our Annual Report on Form 10-K for the year ended August 30, 2025, we implemented a number of remedial actions, including (i) redesigning our manage change and manage access processes and controls, (ii) investing additional resources to enhance oversight and involvement from our recently created Process, Risk and Controls group, (iii) strengthening our internal policies related to IT general controls (“ITGCs”), (iv) enhancing training and awareness programs addressing ITGCs and policies, including further education of control owners regarding the principles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6b3ec25769c64ca5a7099a2dcb8d1969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and requirements of each control, and (v) progressing our implementation of an Identity and Access Management (IAM) system, which will provide enhanced control over the provisioning of user access.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a result of these efforts, we have made significant progress in remediating the design and operating effectiveness of our control environment and successfully addressed ITGCs for several key financial systems, including our legacy ERP platform and supporting tools and utilities.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have advanced remediation efforts related to deficiencies in change management and access management for our CRM system and certain legacy applications related to revenue and accounts receivable, and certain legacy systems related to supply inventory and merchandise in service. We have begun testing the operating effectiveness of these controls. During our third quarter, we implemented a new warehouse management system and are in the process of finalizing the design of our internal controls that depend on that system and expect to do so by the end of the fiscal year.</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Our focus remains on resolving the design and operational issues tied to change and access management in both the CRM and other legacy applications. At the same time, we are investing in broader IT system improvements, including the implementation and eventual development of Oracle Cloud ERP. While unanticipated delays and complexities may extend the timeline, our plan at this time is to fully remediate the identified material weakness in the CRM and legacy applications affecting revenue and accounts receivable by the end of fiscal 2026. Our ability to fully remediate controls affecting inventory and merchandise in service will be affected by the timing of the design of controls and our ability to test a sufficient number of instances. Although we remain focused on progressing these activities, we currently believe that some of the testing will not be completed until fiscal 2027.</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Our Chief Executive Officer and Chief Financial Officer have certified in certifications furnished with this Quarterly Report on Form 10-Q that, to the best of their knowledge, the information contained in this Quarterly Report on Form 10-Q fairly presents, in all material respects, the financial condition and results of operations of the Company as of, and for, the periods presented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6b3ec25769c64ca5a7099a2dcb8d1969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240"/>
        <w:jc w:val="left"/>
        <w:rPr/>
      </w:pPr>
      <w:r>
        <w:rPr>
          <w:rFonts w:ascii="Times New Roman;serif" w:hAnsi="Times New Roman;serif"/>
          <w:b w:val="false"/>
          <w:color w:val="000000"/>
          <w:sz w:val="20"/>
        </w:rPr>
        <w:t>We are involved with environmental investigation, monitoring and remediation activities at certain sites. In addition, from time to time, we are subject to legal proceedings and claims arising from the current conduct of our business operations, including but not limited to, personal injury, customer contract, employment claims and environmental and tax matters as described in our Consolidated Financial Statements. We maintain insurance coverage providing indemnification against many of such claims, and we do not expect, although there can be no assurance, that we will sustain any material loss as a result thereof. Refer to Note 9, “</w:t>
      </w:r>
      <w:hyperlink w:anchor="i6b3ec25769c64ca5a7099a2dcb8d1969_34">
        <w:r>
          <w:rPr>
            <w:rStyle w:val="InternetLink"/>
            <w:rFonts w:ascii="Times New Roman;serif" w:hAnsi="Times New Roman;serif"/>
            <w:b w:val="false"/>
            <w:color w:val="0000FF"/>
            <w:sz w:val="20"/>
            <w:u w:val="single"/>
          </w:rPr>
          <w:t>Commitments and Contingencies</w:t>
        </w:r>
      </w:hyperlink>
      <w:r>
        <w:rPr>
          <w:rFonts w:ascii="Times New Roman;serif" w:hAnsi="Times New Roman;serif"/>
          <w:b w:val="false"/>
          <w:color w:val="000000"/>
          <w:sz w:val="20"/>
        </w:rPr>
        <w:t>,” to the Consolidated Financial Statements, as well as Part II, Item 1A. “Risk Factors” below and in our Annual Report on Form 10-K for the year ended August 30, 2025, for further discussion.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240"/>
        <w:jc w:val="left"/>
        <w:rPr/>
      </w:pPr>
      <w:r>
        <w:rPr>
          <w:rFonts w:ascii="Times New Roman;serif" w:hAnsi="Times New Roman;serif"/>
          <w:b w:val="false"/>
          <w:color w:val="000000"/>
          <w:sz w:val="20"/>
        </w:rPr>
        <w:t>In addition to the other information set forth in this report, you should carefully consider the factors discussed in Part I, Item 1A. “Risk Factors” in our Annual Report on Form 10-K for the year ended August 30, 2025, which could materially affect our business, financial condition, and future results. The risks described in our Annual Report on Form 10-K for the year ended August 30, 2025 are not the only risks that we face. Additional risks and uncertainties not currently known to us or that we currently deem to be immaterial also may materially adversely affect our business, financial condition, and operating results. Except to the extent previously updated or below or to the extent additional factual information disclosed elsewhere in this Quarterly Report on Form 10-Q relates to such risk factors (including, without limitation, the matters discussed in Part I, Item 2 – “</w:t>
      </w:r>
      <w:hyperlink w:anchor="i6b3ec25769c64ca5a7099a2dcb8d1969_82">
        <w:r>
          <w:rPr>
            <w:rStyle w:val="InternetLink"/>
            <w:rFonts w:ascii="Times New Roman;serif" w:hAnsi="Times New Roman;serif"/>
            <w:b w:val="false"/>
            <w:color w:val="0000FF"/>
            <w:sz w:val="20"/>
            <w:u w:val="single"/>
          </w:rPr>
          <w:t>Management’s Discussion and Analysis of Financial Condition and Results of Operations</w:t>
        </w:r>
      </w:hyperlink>
      <w:r>
        <w:rPr>
          <w:color w:val="000000"/>
        </w:rPr>
        <w:t>”</w:t>
      </w:r>
      <w:r>
        <w:rPr>
          <w:rFonts w:ascii="Times New Roman;serif" w:hAnsi="Times New Roman;serif"/>
          <w:b w:val="false"/>
          <w:color w:val="000000"/>
          <w:sz w:val="20"/>
        </w:rPr>
        <w:t>), there have been no material changes to the risk factors set forth in our Annual Report on Form 10-K for the year ended August 30, 2025.</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Risks Related to the Proposed Acquisition of UniFirst by Cintas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The Mergers are subject to conditions, some or all of which may not be satisfied, and may not be completed on a timely basis, if at all. Failure to complete the Mergers on a timely basis or at all could have adverse effects on us.</w:t>
      </w:r>
    </w:p>
    <w:p>
      <w:pPr>
        <w:pStyle w:val="TextBody"/>
        <w:bidi w:val="0"/>
        <w:spacing w:lineRule="auto" w:line="288" w:before="0" w:after="240"/>
        <w:jc w:val="left"/>
        <w:rPr/>
      </w:pPr>
      <w:r>
        <w:rPr>
          <w:rFonts w:ascii="Times New Roman;serif" w:hAnsi="Times New Roman;serif"/>
          <w:b w:val="false"/>
          <w:color w:val="000000"/>
          <w:sz w:val="20"/>
        </w:rPr>
        <w:t xml:space="preserve">The completion of the Mergers (as defined in Note 1, </w:t>
      </w:r>
      <w:hyperlink w:anchor="i6b3ec25769c64ca5a7099a2dcb8d1969_34">
        <w:r>
          <w:rPr>
            <w:rStyle w:val="InternetLink"/>
          </w:rPr>
          <w:t>Summary of Significant Accounting Policies</w:t>
        </w:r>
      </w:hyperlink>
      <w:r>
        <w:rPr>
          <w:rFonts w:ascii="Times New Roman;serif" w:hAnsi="Times New Roman;serif"/>
          <w:b w:val="false"/>
          <w:color w:val="0000FF"/>
          <w:sz w:val="20"/>
          <w:u w:val="single"/>
        </w:rPr>
        <w:t>)</w:t>
      </w:r>
      <w:r>
        <w:rPr>
          <w:color w:val="000000"/>
        </w:rPr>
        <w:t xml:space="preserve"> </w:t>
      </w:r>
      <w:r>
        <w:rPr>
          <w:rFonts w:ascii="Times New Roman;serif" w:hAnsi="Times New Roman;serif"/>
          <w:b w:val="false"/>
          <w:color w:val="000000"/>
          <w:sz w:val="20"/>
        </w:rPr>
        <w:t>is subject to a number of conditions, including, among others, (i) the approval by UniFirst shareholders of the UniFirst merger proposal, which such shareholder approval was obtained at a virtual special meeting of the shareholders of UniFirst on June 11, 2026, and (ii) certain regulatory approvals, including the expiration or termination of any applicable waiting period under the Hart-Scott-Rodino Antitrust Improvements Act of 1976, as amended (the “HSR Act”), which make the completion and timing of the Mergers uncertain. On June 11, 2026, each of Cintas and UniFirst received a request for additional information and documentary material (the “Second Request”) from the Federal Trade Commission (the “FTC”) in connection with the FTC’s review of the transactions contemplated by the Merger Agreement. Issuance of the Second Request extends the waiting period under the HSR Act until 30 days after both Cintas and the Company substantially comply with the Second Request, unless the waiting period is extended voluntarily by Cintas and the Company or terminated earlier by the FTC. Cintas and UniFirst have been working cooperatively with the FTC and will continue to do so.</w:t>
      </w:r>
    </w:p>
    <w:p>
      <w:pPr>
        <w:pStyle w:val="TextBody"/>
        <w:bidi w:val="0"/>
        <w:spacing w:lineRule="auto" w:line="288" w:before="0" w:after="240"/>
        <w:jc w:val="left"/>
        <w:rPr/>
      </w:pPr>
      <w:r>
        <w:rPr>
          <w:rFonts w:ascii="Times New Roman;serif" w:hAnsi="Times New Roman;serif"/>
          <w:b w:val="false"/>
          <w:color w:val="000000"/>
          <w:sz w:val="20"/>
        </w:rPr>
        <w:t xml:space="preserve">Also, either Cintas or UniFirst may terminate the Merger Agreement (as defined in Note 1, </w:t>
      </w:r>
      <w:hyperlink w:anchor="i6b3ec25769c64ca5a7099a2dcb8d1969_34">
        <w:r>
          <w:rPr>
            <w:rStyle w:val="InternetLink"/>
            <w:rFonts w:ascii="Times New Roman;serif" w:hAnsi="Times New Roman;serif"/>
            <w:b w:val="false"/>
            <w:color w:val="0000FF"/>
            <w:sz w:val="20"/>
            <w:u w:val="single"/>
          </w:rPr>
          <w:t>Summary of Significant Accounting Policies</w:t>
        </w:r>
      </w:hyperlink>
      <w:r>
        <w:rPr>
          <w:rFonts w:ascii="Times New Roman;serif" w:hAnsi="Times New Roman;serif"/>
          <w:b w:val="false"/>
          <w:color w:val="000000"/>
          <w:sz w:val="20"/>
        </w:rPr>
        <w:t>) if the Mergers have not been consummated on or before 5:00 p.m. (New York, New York, United States time) on January 10, 2027 (or, in certain circumstances, as such date may be extended to May 10, 2027 or September 10, 2027 pursuant to the Merger Agreement), except that this right to terminate the Merger Agreement is not available to any party that has materially breached any of its obligations under the Merger Agreement if such breach has been the principal cause of or principally resulted in the failure of the closing to have occurred on or before such date.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If the Mergers are not completed, our ongoing business, financial condition, financial results and stock price could be materially adversely affected, and we would forego any benefit of completing the Mergers. Without realizing any of the benefits of having completed the Mergers, we will be subject to a number of risks, including the following:</w:t>
      </w:r>
    </w:p>
    <w:p>
      <w:pPr>
        <w:pStyle w:val="TextBody"/>
        <w:bidi w:val="0"/>
        <w:spacing w:lineRule="auto" w:line="288" w:before="0" w:after="240"/>
        <w:ind w:left="0" w:right="0" w:hanging="810"/>
        <w:jc w:val="left"/>
        <w:rPr/>
      </w:pPr>
      <w:r>
        <w:rPr>
          <w:color w:val="000000"/>
        </w:rPr>
        <w:t>•</w:t>
      </w:r>
      <w:r>
        <w:rPr>
          <w:rFonts w:ascii="Times New Roman;serif" w:hAnsi="Times New Roman;serif"/>
          <w:b w:val="false"/>
          <w:color w:val="000000"/>
          <w:sz w:val="20"/>
        </w:rPr>
        <w:t>the market price of our stock could decline to the extent that the current market price reflects a market assumption that the transaction will be completed;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6b3ec25769c64ca5a7099a2dcb8d1969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hanging="810"/>
        <w:jc w:val="left"/>
        <w:rPr/>
      </w:pPr>
      <w:r>
        <w:rPr>
          <w:color w:val="000000"/>
        </w:rPr>
        <w:t>•</w:t>
      </w:r>
      <w:r>
        <w:rPr>
          <w:rFonts w:ascii="Times New Roman;serif" w:hAnsi="Times New Roman;serif"/>
          <w:b w:val="false"/>
          <w:color w:val="000000"/>
          <w:sz w:val="20"/>
        </w:rPr>
        <w:t>we could owe Cintas a termination fee of $213,300,000 if the Merger Agreement were terminated under specified circumstances;</w:t>
      </w:r>
    </w:p>
    <w:p>
      <w:pPr>
        <w:pStyle w:val="TextBody"/>
        <w:bidi w:val="0"/>
        <w:spacing w:lineRule="auto" w:line="288" w:before="0" w:after="240"/>
        <w:ind w:left="0" w:right="0" w:hanging="810"/>
        <w:jc w:val="left"/>
        <w:rPr/>
      </w:pPr>
      <w:r>
        <w:rPr>
          <w:color w:val="000000"/>
        </w:rPr>
        <w:t>•</w:t>
      </w:r>
      <w:r>
        <w:rPr>
          <w:rFonts w:ascii="Times New Roman;serif" w:hAnsi="Times New Roman;serif"/>
          <w:b w:val="false"/>
          <w:color w:val="000000"/>
          <w:sz w:val="20"/>
        </w:rPr>
        <w:t>if the Merger Agreement is terminated and the UniFirst Board of Directors seeks another business combination, UniFirst shareholders cannot be certain that UniFirst will be able to find a party willing to enter into a transaction on terms equivalent to or more attractive than the terms in the Merger Agreement;</w:t>
      </w:r>
    </w:p>
    <w:p>
      <w:pPr>
        <w:pStyle w:val="TextBody"/>
        <w:bidi w:val="0"/>
        <w:spacing w:lineRule="auto" w:line="288" w:before="0" w:after="240"/>
        <w:ind w:left="0" w:right="0" w:hanging="810"/>
        <w:jc w:val="left"/>
        <w:rPr/>
      </w:pPr>
      <w:r>
        <w:rPr>
          <w:color w:val="000000"/>
        </w:rPr>
        <w:t>•</w:t>
      </w:r>
      <w:r>
        <w:rPr>
          <w:rFonts w:ascii="Times New Roman;serif" w:hAnsi="Times New Roman;serif"/>
          <w:b w:val="false"/>
          <w:color w:val="000000"/>
          <w:sz w:val="20"/>
        </w:rPr>
        <w:t>time and resources committed by our management to matters relating to the Mergers could otherwise have been devoted to pursuing other beneficial opportunities;</w:t>
      </w:r>
    </w:p>
    <w:p>
      <w:pPr>
        <w:pStyle w:val="TextBody"/>
        <w:bidi w:val="0"/>
        <w:spacing w:lineRule="auto" w:line="288" w:before="0" w:after="240"/>
        <w:ind w:left="0" w:right="0" w:hanging="810"/>
        <w:jc w:val="left"/>
        <w:rPr/>
      </w:pPr>
      <w:r>
        <w:rPr>
          <w:color w:val="000000"/>
        </w:rPr>
        <w:t>•</w:t>
      </w:r>
      <w:r>
        <w:rPr>
          <w:rFonts w:ascii="Times New Roman;serif" w:hAnsi="Times New Roman;serif"/>
          <w:b w:val="false"/>
          <w:color w:val="000000"/>
          <w:sz w:val="20"/>
        </w:rPr>
        <w:t>we may experience negative reactions from the financial markets or from customers, suppliers or employees;</w:t>
      </w:r>
    </w:p>
    <w:p>
      <w:pPr>
        <w:pStyle w:val="TextBody"/>
        <w:bidi w:val="0"/>
        <w:spacing w:lineRule="auto" w:line="288" w:before="0" w:after="240"/>
        <w:ind w:left="0" w:right="0" w:hanging="810"/>
        <w:jc w:val="left"/>
        <w:rPr/>
      </w:pPr>
      <w:r>
        <w:rPr>
          <w:color w:val="000000"/>
        </w:rPr>
        <w:t>•</w:t>
      </w:r>
      <w:r>
        <w:rPr>
          <w:rFonts w:ascii="Times New Roman;serif" w:hAnsi="Times New Roman;serif"/>
          <w:b w:val="false"/>
          <w:color w:val="000000"/>
          <w:sz w:val="20"/>
        </w:rPr>
        <w:t>we will be required to pay our costs relating to the Mergers, such as legal, accounting, financial advisory and printing fees, whether or not the Mergers are completed; and</w:t>
      </w:r>
    </w:p>
    <w:p>
      <w:pPr>
        <w:pStyle w:val="TextBody"/>
        <w:bidi w:val="0"/>
        <w:spacing w:lineRule="auto" w:line="288" w:before="0" w:after="240"/>
        <w:ind w:left="0" w:right="0" w:hanging="810"/>
        <w:jc w:val="left"/>
        <w:rPr/>
      </w:pPr>
      <w:r>
        <w:rPr>
          <w:color w:val="000000"/>
        </w:rPr>
        <w:t>•</w:t>
      </w:r>
      <w:r>
        <w:rPr>
          <w:rFonts w:ascii="Times New Roman;serif" w:hAnsi="Times New Roman;serif"/>
          <w:b w:val="false"/>
          <w:color w:val="000000"/>
          <w:sz w:val="20"/>
        </w:rPr>
        <w:t>litigation related to any failure to complete the Mergers or related to any enforcement proceeding commenced against us to perform our obligations pursuant to the Merger Agreement.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materialization of any of these risks could adversely impact our ongoing business, financial condition, financial results and stock price. Similarly, delays in the completion of the Mergers could, among other things, result in additional transaction costs, loss of revenue or other negative effects associated with uncertainty about completion of the Mergers.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The Merger Agreement contains provisions that limit UniFirst’s ability to pursue alternatives to the Mergers, could discourage a potential competing acquiror of UniFirst from making a favorable alternative transaction proposal and, in specified circumstances, could require UniFirst to pay a termination fee to Cintas.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Merger Agreement contains certain provisions that restrict UniFirst’s ability to solicit, seek, facilitate, discuss or enter into an agreement with respect to a UniFirst acquisition proposal. The UniFirst Board of Directors is subject to restrictions on withdrawing, qualifying or modifying its recommendation to UniFirst shareholders in favor of the Mergers and to certain other related restrictions. In addition, Cintas generally must be given an opportunity to offer to modify the terms and conditions of the Merger Agreement or the transactions contemplated by the Merger Agreement in response to any third-party alternative acquisition proposal before the UniFirst Board of Directors may withdraw or qualify its recommendation with respect to the Mergers or terminate the Merger Agreement in connection with a third-party acquisition proposal.</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some circumstances relating to our entry into an agreement for an alternative transaction or a change in the recommendation of the UniFirst Board of Directors with respect to the Mergers, upon termination of the Merger Agreement, we will be required to pay a termination fee of $213,300,000 to Cintas.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These provisions of the Merger Agreement could discourage a potential third-party acquiror or merger partner that might have an interest in acquiring all or a significant portion of UniFirst or pursuing an alternative transaction with UniFirst from considering or proposing such a transaction, even if it were prepared to pay consideration with a higher per share value than the per share value proposed to be received or realized in the Mergers. In particular, the termination fee, if applicable, could result in a potential third-party acquiror or merger partner proposing to pay a lower price to UniFirst shareholders than it might otherwise have proposed to pay absent such a fee.</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The Mergers are subject to the expiration or termination of applicable waiting periods (including any extension thereof) and the receipt of certain authorizations or consents from regulatory authorities that may impose conditions that could have an adverse effect on Cintas after the completion of the Mergers or, if not obtained, could prevent completion of the Mergers.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Before the Mergers may be completed, any waiting period (or extension thereof) under the HSR Act must have expired or been terminated, and any authorizations or consents from certain foreign regulators under antitrust laws and governmental authorities in respect of certain of UniFirst’s permits are required in connection with the Mergers. In deciding whether to grant the required regulatory authorization or consent, the relevant governmental authorities may consider, among other factors, the effect of the Mergers on competition within their relevant jurisdiction. The terms and conditions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6b3ec25769c64ca5a7099a2dcb8d1969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authorizations or consents that are granted may impose requirements, limitations or costs or place restrictions on the conduct of the business of Cintas after the completion of the Mergers.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addition, regulators may impose conditions, terms, obligations or restrictions in connection with their authorization or consent to the Mergers, and such conditions, terms, obligations or restrictions could delay completion of the Mergers or impose additional material costs on or materially limit Cintas’ revenues after the completion of the Mergers or potentially lead to the abandonment of the Mergers.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On June 11, 2026, each of Cintas and UniFirst received a Second Request from the FTC in connection with the FTC’s review of the transactions contemplated by the Merger Agreement. Issuance of the Second Request extends the waiting period under the HSR Act until 30 days after both Cintas and the Company substantially comply with the Second Request, unless the waiting period is extended voluntarily by Cintas and the Company or terminated earlier by the FTC. Cintas and UniFirst have been working cooperatively with the FTC and will continue to do so.</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The merger consideration, including the exchange ratio, is fixed and will not be adjusted in the event of any change in either Cintas’ or UniFirst’s stock price. As such, UniFirst shareholders cannot be sure of the value of the stock consideration they will receive in exchange for their shares of UniFirst stock in connection with the Mergers.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Upon completion of the Mergers, each share of UniFirst stock will be converted into the right to receive $155.00 in cash, and 0.7720 of a validly issued, fully paid and non-assessable share of Cintas common stock, in each case, without interest and subject to any required tax withholding. The stock consideration may potentially be adjusted for any fractional shares. The foregoing exchange ratio is fixed and will not be adjusted to reflect changes in the stock price of either Cintas or UniFirst before the Mergers are complete. Due to the fixed exchange ratio, fluctuations in the price of Cintas common stock will drive corresponding changes in the value of the merger consideration payable to each UniFirst shareholder. As a result, changes in the price of Cintas common stock prior to the completion of the Mergers will affect the market value that UniFirst shareholders will become entitled to receive on the date of the closing of the Mergers. Stock price changes may result from a variety of factors (many of which are beyond Cintas’ or UniFirst’s control), including changes in Cintas’ or UniFirst’s respective business, operations and prospects.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price of Cintas common stock has fluctuated during the period between the date the Merger Agreement was executed and the date of this Quarterly Report on Form 10-Q, and may continue to change through the date the Mergers are completed (which might be a significant period of time). Because the exchange ratio will not be adjusted to reflect any changes in the market values of Cintas common stock or UniFirst stock, the actual market value of the Cintas common stock received by UniFirst shareholders upon completion of the Mergers may differ from the market value on the last full trading day before the public announcement of the Mergers.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These variations could result from changes in the business, operations or prospects of Cintas or UniFirst prior to or after the completion of the Mergers, regulatory considerations, general market and economic conditions and other factors both within and beyond the control of Cintas or UniFirst. UniFirst shareholders do not know with certainty the value of the shares of Cintas common stock that they will receive upon completion of the Mergers. Neither Cintas nor UniFirst is permitted to terminate the Merger Agreement solely because of changes in the market price of either company’s common stock.</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UniFirst is subject to business uncertainties and contractual restrictions while the proposed transaction is pending, which could adversely affect our business and operations.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connection with the pendency of the Mergers, it is possible that some customers, suppliers and other persons with whom we have a business relationship may delay or defer certain business decisions or might decide to seek to terminate, change or renegotiate their relationships with us, as the case may be, as a result of the Mergers or otherwise. Under the terms of the Merger Agreement, we are subject to certain restrictions on the conduct of our business prior to completing the Mergers, which may adversely affect our ability to execute certain of our business strategies, including the ability in certain cases to enter into or amend contracts, acquire or dispose of assets, incur indebtedness or incur capital expenditures. Such limitations could adversely affect our business and operations prior to the completion of the Mergers.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Each of the risks described above may be exacerbated by delays or other adverse developments with respect to the completion of the Mergers.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6b3ec25769c64ca5a7099a2dcb8d1969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Uncertainties associated with the Mergers may cause a loss of management personnel and other key employees or cause UniFirst and Cintas to have difficulty attracting and motivating management personnel and other key employees, which could adversely affect the future business and operations of Cintas after the completion of the Mergers.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UniFirst and Cintas are dependent on the experience and industry knowledge of their respective management personnel and other key employees to execute their business plans. The success of Cintas after the completion of the Mergers will depend in part upon the ability of UniFirst and Cintas to attract, motivate and retain key management personnel and other key employees. Prior to completion of the Mergers, current and prospective employees of UniFirst and Cintas may experience uncertainty about their roles within Cintas after the completion of the Mergers, which may have an adverse effect on the ability of each of UniFirst and Cintas to attract, motivate or retain management personnel and other key employees. In addition, no assurance can be given that Cintas, after the completion of the Mergers, will be able to attract, motivate or retain management personnel and other key employees of UniFirst and Cintas to the same extent that UniFirst and Cintas have previously been able to attract or retain their own employees.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Potential litigation against UniFirst and Cintas could result in substantial costs, an injunction preventing the completion of the Mergers and/or a judgment resulting in the payment of damages.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Securities class action lawsuits and derivative lawsuits are often brought against public companies that have entered into merger agreements. Even if such a lawsuit is without merit, defending against these claims can result in substantial costs. An adverse judgment could result in monetary damages, which could have a negative impact on UniFirst’s and Cintas’ respective liquidity and financial condition.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Additionally, if a plaintiff is successful in obtaining an injunction prohibiting completion of the Mergers, then that injunction may delay or prevent the Mergers from being completed, or from being completed within the expected time frame, which may adversely affect UniFirst’s and Cintas’ respective businesses, financial positions and results of operation.</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Completion of the Mergers may trigger change in control or other provisions in certain agreements to which UniFirst or its subsidiaries is a party, which may have an adverse impact on Cintas’ business and results of operations after the Mergers.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completion of the Mergers may trigger change in control or other provisions in certain agreements to which UniFirst or its subsidiaries is a party. If UniFirst or its subsidiaries are unable to negotiate waivers of those provisions, the counterparties may exercise their rights and remedies under the agreements, potentially terminating the agreements or seeking monetary damages. Even if UniFirst or its subsidiaries are able to negotiate waivers, the counterparties may require a fee for such waivers or seek to renegotiate the agreements on terms less favorable to Cintas after the completion of the Mergers. Any of the foregoing or similar developments may have an adverse impact on Cintas’ business and operations after the completion of the Mergers.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The shares of Cintas common stock to be received by UniFirst shareholders upon completion of the Mergers will have different rights from shares of UniFirst stock.</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Upon completion of the Mergers, UniFirst shareholders will no longer be UniFirst shareholders but will instead become Cintas shareholders, and their rights as Cintas shareholders will be governed by the terms of Cintas articles of incorporation, as may be amended from time to time, Cintas bylaws, as may be amended from time to time, and the Washington Business Corporation Act (“WCBA”). The terms of Cintas articles of incorporation, Cintas bylaws and the WCBA are in some respects materially different from the terms of UniFirst articles of organization, as may be amended from time to time, UniFirst bylaws, as may be amended from time to time, and the Massachusetts Business Corporation Act, which currently govern the rights of UniFirst shareholders.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UniFirst shareholders will have a significantly reduced ownership and voting interest after the Mergers and will exercise less influence over the policies of Cintas after the completion of the Mergers than they now have on the policies of UniFirst.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Cintas shareholders currently have the right to vote in the election of the Cintas Board and on other matters affecting Cintas. UniFirst shareholders currently have the right to vote in the election of the UniFirst Board and on other matters affecting UniFirst. Currently, each share of Cintas common stock is entitled to 1 vote per share. Currently, each share of UniFirst Class B Common Stock is entitled to 10 votes per share and each share of UniFirst Common Stock is entitled to 1 vote per share. Generally, members of the Croatti family, as holders of shares of UniFirst Class B Common Stock, have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6b3ec25769c64ca5a7099a2dcb8d1969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material influence on the management and policies of UniFirst currently and even if all other holders of UniFirst common stock voted together on all matters, they would not have a significant impact on the approval or rejection of proposals submitted to UniFirst shareholders.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Immediately after the Mergers are completed, it is expected that current UniFirst shareholders, including holders of Common Stock, will own a significantly reduced percentage of the outstanding shares Cintas common stock relative to their ownership of UniFirst Common Stock or UniFirst Class B Common Stock. As a result of their reduced ownership of Cintas, current UniFirst shareholders will have significantly less influence on the management and policies of Cintas than they now have on the management and policies of UniFirst.</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The Mergers will involve substantial costs.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UniFirst and Cintas have incurred, and expect to continue to incur, a number of non-recurring costs associated with the Mergers, a substantial majority of which will be comprised of transaction costs related to the Mergers and include, among others, employee retention costs, fees paid to financial, legal and accounting advisors, severance and benefit costs, proxy solicitation costs and filing fees and regulatory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about repurchases of our equity securities during the thirteen weeks ended May 30, 2026:</w:t>
      </w:r>
    </w:p>
    <w:tbl>
      <w:tblPr>
        <w:tblW w:w="9075" w:type="dxa"/>
        <w:jc w:val="left"/>
        <w:tblInd w:w="0" w:type="dxa"/>
        <w:tblLayout w:type="fixed"/>
        <w:tblCellMar>
          <w:top w:w="28" w:type="dxa"/>
          <w:left w:w="28" w:type="dxa"/>
          <w:bottom w:w="28" w:type="dxa"/>
          <w:right w:w="28" w:type="dxa"/>
        </w:tblCellMar>
      </w:tblPr>
      <w:tblGrid>
        <w:gridCol w:w="990"/>
        <w:gridCol w:w="870"/>
        <w:gridCol w:w="884"/>
        <w:gridCol w:w="109"/>
        <w:gridCol w:w="109"/>
        <w:gridCol w:w="109"/>
        <w:gridCol w:w="369"/>
        <w:gridCol w:w="369"/>
        <w:gridCol w:w="371"/>
        <w:gridCol w:w="109"/>
        <w:gridCol w:w="109"/>
        <w:gridCol w:w="109"/>
        <w:gridCol w:w="331"/>
        <w:gridCol w:w="638"/>
        <w:gridCol w:w="171"/>
        <w:gridCol w:w="109"/>
        <w:gridCol w:w="109"/>
        <w:gridCol w:w="109"/>
        <w:gridCol w:w="454"/>
        <w:gridCol w:w="454"/>
        <w:gridCol w:w="456"/>
        <w:gridCol w:w="109"/>
        <w:gridCol w:w="109"/>
        <w:gridCol w:w="109"/>
        <w:gridCol w:w="222"/>
        <w:gridCol w:w="1026"/>
        <w:gridCol w:w="162"/>
      </w:tblGrid>
      <w:tr>
        <w:trPr/>
        <w:tc>
          <w:tcPr>
            <w:tcW w:w="99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 Total</w:t>
              <w:br/>
              <w:t>Number of</w:t>
              <w:br/>
              <w:t>Shares</w:t>
              <w:br/>
              <w:t>Purchased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 Average</w:t>
              <w:br/>
              <w:t>Price Paid per</w:t>
              <w:br/>
              <w:t>Share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 Total Number</w:t>
              <w:br/>
              <w:t>of Shares</w:t>
              <w:br/>
              <w:t>Purchased as</w:t>
              <w:br/>
              <w:t>Part of Publicly</w:t>
              <w:br/>
              <w:t>Announced Plans</w:t>
              <w:br/>
              <w:t>or Programs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 Maximum</w:t>
              <w:br/>
              <w:t>Number (or</w:t>
              <w:br/>
              <w:t>Approximate</w:t>
              <w:br/>
              <w:t>Dollar Value) of</w:t>
              <w:br/>
              <w:t>Shares that May</w:t>
              <w:br/>
              <w:t>Yet be Purchased</w:t>
              <w:br/>
              <w:t>Under the Plans</w:t>
              <w:br/>
              <w:t>or Programs (1)</w:t>
            </w:r>
          </w:p>
        </w:tc>
      </w:tr>
      <w:tr>
        <w:trPr/>
        <w:tc>
          <w:tcPr>
            <w:tcW w:w="2744"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March 1, 2026 - March 28, 2026</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8"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8,896,493 </w:t>
            </w:r>
          </w:p>
        </w:tc>
        <w:tc>
          <w:tcPr>
            <w:tcW w:w="162"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March 29, 2026 - April 25,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8,896,493 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April 26, 2026 - May 30, 2026</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8"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8,896,493 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did not repurchase any shares during the thirteen weeks ended May 30, 2026.</w:t>
      </w:r>
    </w:p>
    <w:p>
      <w:pPr>
        <w:pStyle w:val="TextBody"/>
        <w:bidi w:val="0"/>
        <w:spacing w:lineRule="auto" w:line="288" w:before="0" w:after="240"/>
        <w:ind w:left="0" w:right="0" w:hanging="1350"/>
        <w:jc w:val="left"/>
        <w:rPr>
          <w:rFonts w:ascii="Times New Roman;serif" w:hAnsi="Times New Roman;serif"/>
          <w:b w:val="false"/>
          <w:color w:val="000000"/>
          <w:sz w:val="20"/>
        </w:rPr>
      </w:pPr>
      <w:r>
        <w:rPr>
          <w:rFonts w:ascii="Times New Roman;serif" w:hAnsi="Times New Roman;serif"/>
          <w:b w:val="false"/>
          <w:color w:val="000000"/>
          <w:sz w:val="20"/>
        </w:rPr>
        <w:t>(1)On April 8, 2025, our Board of Directors authorized a new share repurchase program to repurchase up to $100.0 million of our outstanding shares of Common Stock, inclusive of the amount which remained available under the existing share repurchase program approved in 2023. Repurchases made from time to time under the new program, if any, will be made in either the open market or in privately negotiated transactions. The timing, manner, price and amount of any repurchase will depend on a variety of factors, including economic and market conditions, the Company stock price, corporate liquidity requirements and priorities, applicable legal requirements and other factors. The share repurchase program has been funded to date using our available cash and may be suspended or discontinued at any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6b3ec25769c64ca5a7099a2dcb8d1969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124"/>
        <w:gridCol w:w="109"/>
        <w:gridCol w:w="109"/>
        <w:gridCol w:w="154"/>
        <w:gridCol w:w="154"/>
        <w:gridCol w:w="158"/>
        <w:gridCol w:w="109"/>
        <w:gridCol w:w="109"/>
        <w:gridCol w:w="109"/>
        <w:gridCol w:w="2760"/>
        <w:gridCol w:w="2614"/>
        <w:gridCol w:w="369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0" w:type="dxa"/>
            <w:tcBorders/>
            <w:vAlign w:val="center"/>
          </w:tcPr>
          <w:p>
            <w:pPr>
              <w:pStyle w:val="TableContents"/>
              <w:bidi w:val="0"/>
              <w:spacing w:before="0" w:after="283"/>
              <w:jc w:val="left"/>
              <w:rPr>
                <w:sz w:val="4"/>
                <w:szCs w:val="4"/>
              </w:rPr>
            </w:pPr>
            <w:r>
              <w:rPr>
                <w:sz w:val="4"/>
                <w:szCs w:val="4"/>
              </w:rPr>
            </w:r>
          </w:p>
        </w:tc>
        <w:tc>
          <w:tcPr>
            <w:tcW w:w="2614" w:type="dxa"/>
            <w:tcBorders/>
            <w:vAlign w:val="center"/>
          </w:tcPr>
          <w:p>
            <w:pPr>
              <w:pStyle w:val="TableContents"/>
              <w:bidi w:val="0"/>
              <w:spacing w:before="0" w:after="283"/>
              <w:jc w:val="left"/>
              <w:rPr>
                <w:sz w:val="4"/>
                <w:szCs w:val="4"/>
              </w:rPr>
            </w:pPr>
            <w:r>
              <w:rPr>
                <w:sz w:val="4"/>
                <w:szCs w:val="4"/>
              </w:rPr>
            </w:r>
          </w:p>
        </w:tc>
        <w:tc>
          <w:tcPr>
            <w:tcW w:w="369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Agreement and Plan of Merger, by and among UniFirst Corporation, Cintas Corporation, Bruin Merger Sub I, Inc., and Bruin Merger Sub II, LLC, dated as of March 10, 2026. (incorporated by reference to Exhibit 2.1 to the Company’s Current Report on Form 8-K filed with the Commission on March 11, 2026).</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unf-20260530xexx311.htm">
              <w:r>
                <w:rPr>
                  <w:rStyle w:val="InternetLink"/>
                  <w:rFonts w:ascii="Times New Roman;serif" w:hAnsi="Times New Roman;serif"/>
                  <w:b w:val="false"/>
                  <w:color w:val="0000FF"/>
                  <w:sz w:val="20"/>
                  <w:u w:val="single"/>
                </w:rPr>
                <w:t>Rule 13a-14(a)/15d-14(a) Certification of Steven S. Sintros (filed herewith).</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unf-20260530xexx312.htm">
              <w:r>
                <w:rPr>
                  <w:rStyle w:val="InternetLink"/>
                  <w:rFonts w:ascii="Times New Roman;serif" w:hAnsi="Times New Roman;serif"/>
                  <w:b w:val="false"/>
                  <w:color w:val="0000FF"/>
                  <w:sz w:val="20"/>
                  <w:u w:val="single"/>
                </w:rPr>
                <w:t>Rule 13a-14(a)/15d-14(a) Certification of Shane O’Connor (filed herewith).</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unf-20260530xexx321.htm">
              <w:r>
                <w:rPr>
                  <w:rStyle w:val="InternetLink"/>
                  <w:rFonts w:ascii="Times New Roman;serif" w:hAnsi="Times New Roman;serif"/>
                  <w:b w:val="false"/>
                  <w:color w:val="0000FF"/>
                  <w:sz w:val="20"/>
                  <w:u w:val="single"/>
                </w:rPr>
                <w:t>Certification of Chief Executive Officer Pursuant to 18 U.S.C. Section 1350, as adopted pursuant to Section 906 of the Sarbanes-Oxley Act of 2002 (furnished herewith).</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unf-20260530xexx322.htm">
              <w:r>
                <w:rPr>
                  <w:rStyle w:val="InternetLink"/>
                  <w:rFonts w:ascii="Times New Roman;serif" w:hAnsi="Times New Roman;serif"/>
                  <w:b w:val="false"/>
                  <w:color w:val="0000FF"/>
                  <w:sz w:val="20"/>
                  <w:u w:val="single"/>
                </w:rPr>
                <w:t>Certification of Chief Financial Officer Pursuant to 18 U.S.C. Section 1350, as adopted pursuant to Section 906 of the Sarbanes-Oxley Act of 2002 (furnished herewith).</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financial information from UniFirst Corporation Quarterly Report on Form 10-Q for the quarter ended May 30, 2026 formatted in Inline XBRL (Extensible Business Reporting Language) includes: (i) the Consolidated Statements of Income, (ii) the Consolidated Statements of Comprehensive Income, (iii) the Consolidated Balance Sheets, (iv) the Consolidated Statements of Stockholders’ Equity, (v) the Consolidated Statements of Cash Flows, and (vi) Notes to the Consolidated Financial Statements.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with applicable taxonomy extension information contained in Exhibits 101) (filed herewith).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Schedules and exhibits have been omitted pursuant to Item 601(b)(2) of Regulation S-K. UniFirst hereby agrees to furnish supplementally a copy of any omitted schedule or exhibit to the SEC upon its request; provided however, that UniFirst may request confidential treatment pursuant to Rule 24b-2 of the Securities and Exchange Act of 1934, as amended, for any schedules or exhibits so furnished.</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6b3ec25769c64ca5a7099a2dcb8d1969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6132" w:type="dxa"/>
        <w:jc w:val="left"/>
        <w:tblInd w:w="0" w:type="dxa"/>
        <w:tblLayout w:type="fixed"/>
        <w:tblCellMar>
          <w:top w:w="28" w:type="dxa"/>
          <w:left w:w="28" w:type="dxa"/>
          <w:bottom w:w="28" w:type="dxa"/>
          <w:right w:w="28" w:type="dxa"/>
        </w:tblCellMar>
      </w:tblPr>
      <w:tblGrid>
        <w:gridCol w:w="405"/>
        <w:gridCol w:w="357"/>
        <w:gridCol w:w="362"/>
        <w:gridCol w:w="134"/>
        <w:gridCol w:w="134"/>
        <w:gridCol w:w="136"/>
        <w:gridCol w:w="1348"/>
        <w:gridCol w:w="1348"/>
        <w:gridCol w:w="1908"/>
      </w:tblGrid>
      <w:tr>
        <w:trPr/>
        <w:tc>
          <w:tcPr>
            <w:tcW w:w="405"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908"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UniFirst Corporation</w:t>
            </w:r>
          </w:p>
        </w:tc>
      </w:tr>
      <w:tr>
        <w:trPr/>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July 8, 2026</w:t>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6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Steven S. Sintros</w:t>
            </w:r>
          </w:p>
        </w:tc>
      </w:tr>
      <w:tr>
        <w:trPr/>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Steven S. Sintros</w:t>
            </w:r>
          </w:p>
        </w:tc>
      </w:tr>
      <w:tr>
        <w:trPr/>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President and Chief Executive Officer</w:t>
            </w:r>
          </w:p>
        </w:tc>
      </w:tr>
      <w:tr>
        <w:trPr/>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July 8, 2026</w:t>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6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Shane O’Connor</w:t>
            </w:r>
          </w:p>
        </w:tc>
      </w:tr>
      <w:tr>
        <w:trPr/>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Shane O’Connor</w:t>
            </w:r>
          </w:p>
        </w:tc>
      </w:tr>
      <w:tr>
        <w:trPr/>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Executive Vice President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EXECUTIVE OFFICER PURSUANT TO SECURITIES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EXCHANGE ACT RULE 13a-14(a)/15d-14(a) AS ADOPTED PURSUANT TO SECTION</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302 OF THE SARBANES-OXLEY ACT OF 2002</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 Steven S. Sintros, certify that:</w:t>
      </w:r>
    </w:p>
    <w:p>
      <w:pPr>
        <w:pStyle w:val="TextBody"/>
        <w:bidi w:val="0"/>
        <w:spacing w:lineRule="auto" w:line="288" w:before="0" w:after="120"/>
        <w:ind w:left="0" w:right="0" w:hanging="1310"/>
        <w:jc w:val="left"/>
        <w:rPr>
          <w:rFonts w:ascii="Times New Roman;serif" w:hAnsi="Times New Roman;serif"/>
          <w:b w:val="false"/>
          <w:color w:val="000000"/>
          <w:sz w:val="20"/>
        </w:rPr>
      </w:pPr>
      <w:r>
        <w:rPr>
          <w:rFonts w:ascii="Times New Roman;serif" w:hAnsi="Times New Roman;serif"/>
          <w:b w:val="false"/>
          <w:color w:val="000000"/>
          <w:sz w:val="20"/>
        </w:rPr>
        <w:t xml:space="preserve">1.I have reviewed this Quarterly Report on Form 10-Q of UniFirst Corporation; </w:t>
      </w:r>
    </w:p>
    <w:p>
      <w:pPr>
        <w:pStyle w:val="TextBody"/>
        <w:bidi w:val="0"/>
        <w:spacing w:lineRule="auto" w:line="288" w:before="0" w:after="120"/>
        <w:ind w:left="0" w:right="0" w:hanging="1310"/>
        <w:jc w:val="left"/>
        <w:rPr>
          <w:rFonts w:ascii="Times New Roman;serif" w:hAnsi="Times New Roman;serif"/>
          <w:b w:val="false"/>
          <w:color w:val="000000"/>
          <w:sz w:val="20"/>
        </w:rPr>
      </w:pPr>
      <w:r>
        <w:rPr>
          <w:rFonts w:ascii="Times New Roman;serif" w:hAnsi="Times New Roman;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0" w:after="120"/>
        <w:ind w:left="0" w:right="0" w:hanging="1310"/>
        <w:jc w:val="left"/>
        <w:rPr>
          <w:rFonts w:ascii="Times New Roman;serif" w:hAnsi="Times New Roman;serif"/>
          <w:b w:val="false"/>
          <w:color w:val="000000"/>
          <w:sz w:val="20"/>
        </w:rPr>
      </w:pPr>
      <w:r>
        <w:rPr>
          <w:rFonts w:ascii="Times New Roman;serif" w:hAnsi="Times New Roman;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0" w:after="120"/>
        <w:ind w:left="0" w:right="0" w:hanging="1310"/>
        <w:jc w:val="left"/>
        <w:rPr>
          <w:rFonts w:ascii="Times New Roman;serif" w:hAnsi="Times New Roman;serif"/>
          <w:b w:val="false"/>
          <w:color w:val="000000"/>
          <w:sz w:val="20"/>
        </w:rPr>
      </w:pPr>
      <w:r>
        <w:rPr>
          <w:rFonts w:ascii="Times New Roman;serif" w:hAnsi="Times New Roman;serif"/>
          <w:b w:val="false"/>
          <w:color w:val="000000"/>
          <w:sz w:val="20"/>
        </w:rPr>
        <w:t xml:space="preserve">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0" w:after="120"/>
        <w:ind w:left="0" w:right="0" w:hanging="1310"/>
        <w:jc w:val="left"/>
        <w:rPr>
          <w:rFonts w:ascii="Times New Roman;serif" w:hAnsi="Times New Roman;serif"/>
          <w:b w:val="false"/>
          <w:color w:val="000000"/>
          <w:sz w:val="20"/>
        </w:rPr>
      </w:pPr>
      <w:r>
        <w:rPr>
          <w:rFonts w:ascii="Times New Roman;serif" w:hAnsi="Times New Roman;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0" w:after="120"/>
        <w:ind w:left="0" w:right="0" w:hanging="1310"/>
        <w:jc w:val="left"/>
        <w:rPr>
          <w:rFonts w:ascii="Times New Roman;serif" w:hAnsi="Times New Roman;serif"/>
          <w:b w:val="false"/>
          <w:color w:val="000000"/>
          <w:sz w:val="20"/>
        </w:rPr>
      </w:pPr>
      <w:r>
        <w:rPr>
          <w:rFonts w:ascii="Times New Roman;serif" w:hAnsi="Times New Roman;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0" w:after="120"/>
        <w:ind w:left="0" w:right="0" w:hanging="1310"/>
        <w:jc w:val="left"/>
        <w:rPr>
          <w:rFonts w:ascii="Times New Roman;serif" w:hAnsi="Times New Roman;serif"/>
          <w:b w:val="false"/>
          <w:color w:val="000000"/>
          <w:sz w:val="20"/>
        </w:rPr>
      </w:pPr>
      <w:r>
        <w:rPr>
          <w:rFonts w:ascii="Times New Roman;serif" w:hAnsi="Times New Roman;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0" w:after="120"/>
        <w:ind w:left="0" w:right="0" w:hanging="1310"/>
        <w:jc w:val="left"/>
        <w:rPr>
          <w:rFonts w:ascii="Times New Roman;serif" w:hAnsi="Times New Roman;serif"/>
          <w:b w:val="false"/>
          <w:color w:val="000000"/>
          <w:sz w:val="20"/>
        </w:rPr>
      </w:pPr>
      <w:r>
        <w:rPr>
          <w:rFonts w:ascii="Times New Roman;serif" w:hAnsi="Times New Roman;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0" w:after="120"/>
        <w:ind w:left="0" w:right="0" w:hanging="1310"/>
        <w:jc w:val="left"/>
        <w:rPr>
          <w:rFonts w:ascii="Times New Roman;serif" w:hAnsi="Times New Roman;serif"/>
          <w:b w:val="false"/>
          <w:color w:val="000000"/>
          <w:sz w:val="20"/>
        </w:rPr>
      </w:pPr>
      <w:r>
        <w:rPr>
          <w:rFonts w:ascii="Times New Roman;serif" w:hAnsi="Times New Roman;serif"/>
          <w:b w:val="false"/>
          <w:color w:val="000000"/>
          <w:sz w:val="20"/>
        </w:rPr>
        <w:t xml:space="preserve">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0" w:after="120"/>
        <w:ind w:left="0" w:right="0" w:hanging="1310"/>
        <w:jc w:val="left"/>
        <w:rPr>
          <w:rFonts w:ascii="Times New Roman;serif" w:hAnsi="Times New Roman;serif"/>
          <w:b w:val="false"/>
          <w:color w:val="000000"/>
          <w:sz w:val="20"/>
        </w:rPr>
      </w:pPr>
      <w:r>
        <w:rPr>
          <w:rFonts w:ascii="Times New Roman;serif" w:hAnsi="Times New Roman;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0" w:after="360"/>
        <w:ind w:left="0" w:right="0" w:hanging="131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219" w:type="dxa"/>
        <w:jc w:val="left"/>
        <w:tblInd w:w="0" w:type="dxa"/>
        <w:tblLayout w:type="fixed"/>
        <w:tblCellMar>
          <w:top w:w="28" w:type="dxa"/>
          <w:left w:w="28" w:type="dxa"/>
          <w:bottom w:w="28" w:type="dxa"/>
          <w:right w:w="28" w:type="dxa"/>
        </w:tblCellMar>
      </w:tblPr>
      <w:tblGrid>
        <w:gridCol w:w="580"/>
        <w:gridCol w:w="511"/>
        <w:gridCol w:w="514"/>
        <w:gridCol w:w="134"/>
        <w:gridCol w:w="134"/>
        <w:gridCol w:w="136"/>
        <w:gridCol w:w="939"/>
        <w:gridCol w:w="939"/>
        <w:gridCol w:w="1332"/>
      </w:tblGrid>
      <w:tr>
        <w:trPr/>
        <w:tc>
          <w:tcPr>
            <w:tcW w:w="58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July 8, 2026</w:t>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Steven S. Sintros</w:t>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Steven S. Sintros</w:t>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FINANCIAL OFFICER PURSUANT TO SECURITIES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EXCHANGE ACT RULE 13a-14(a)/15d-14(a) AS ADOPTED PURSUANT TO SECTION</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302 OF THE SARBANES-OXLEY ACT OF 2002</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 Shane O’Connor, certify that:</w:t>
      </w:r>
    </w:p>
    <w:p>
      <w:pPr>
        <w:pStyle w:val="TextBody"/>
        <w:bidi w:val="0"/>
        <w:spacing w:lineRule="auto" w:line="288" w:before="0" w:after="120"/>
        <w:ind w:left="0" w:right="0" w:hanging="1310"/>
        <w:jc w:val="left"/>
        <w:rPr>
          <w:rFonts w:ascii="Times New Roman;serif" w:hAnsi="Times New Roman;serif"/>
          <w:b w:val="false"/>
          <w:color w:val="000000"/>
          <w:sz w:val="20"/>
        </w:rPr>
      </w:pPr>
      <w:r>
        <w:rPr>
          <w:rFonts w:ascii="Times New Roman;serif" w:hAnsi="Times New Roman;serif"/>
          <w:b w:val="false"/>
          <w:color w:val="000000"/>
          <w:sz w:val="20"/>
        </w:rPr>
        <w:t xml:space="preserve">1.I have reviewed this Quarterly Report on Form 10-Q of UniFirst Corporation; </w:t>
      </w:r>
    </w:p>
    <w:p>
      <w:pPr>
        <w:pStyle w:val="TextBody"/>
        <w:bidi w:val="0"/>
        <w:spacing w:lineRule="auto" w:line="288" w:before="0" w:after="120"/>
        <w:ind w:left="0" w:right="0" w:hanging="1310"/>
        <w:jc w:val="left"/>
        <w:rPr>
          <w:rFonts w:ascii="Times New Roman;serif" w:hAnsi="Times New Roman;serif"/>
          <w:b w:val="false"/>
          <w:color w:val="000000"/>
          <w:sz w:val="20"/>
        </w:rPr>
      </w:pPr>
      <w:r>
        <w:rPr>
          <w:rFonts w:ascii="Times New Roman;serif" w:hAnsi="Times New Roman;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0" w:after="120"/>
        <w:ind w:left="0" w:right="0" w:hanging="1310"/>
        <w:jc w:val="left"/>
        <w:rPr>
          <w:rFonts w:ascii="Times New Roman;serif" w:hAnsi="Times New Roman;serif"/>
          <w:b w:val="false"/>
          <w:color w:val="000000"/>
          <w:sz w:val="20"/>
        </w:rPr>
      </w:pPr>
      <w:r>
        <w:rPr>
          <w:rFonts w:ascii="Times New Roman;serif" w:hAnsi="Times New Roman;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0" w:after="120"/>
        <w:ind w:left="0" w:right="0" w:hanging="1310"/>
        <w:jc w:val="left"/>
        <w:rPr>
          <w:rFonts w:ascii="Times New Roman;serif" w:hAnsi="Times New Roman;serif"/>
          <w:b w:val="false"/>
          <w:color w:val="000000"/>
          <w:sz w:val="20"/>
        </w:rPr>
      </w:pPr>
      <w:r>
        <w:rPr>
          <w:rFonts w:ascii="Times New Roman;serif" w:hAnsi="Times New Roman;serif"/>
          <w:b w:val="false"/>
          <w:color w:val="000000"/>
          <w:sz w:val="20"/>
        </w:rPr>
        <w:t xml:space="preserve">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0" w:after="120"/>
        <w:ind w:left="0" w:right="0" w:hanging="1310"/>
        <w:jc w:val="left"/>
        <w:rPr>
          <w:rFonts w:ascii="Times New Roman;serif" w:hAnsi="Times New Roman;serif"/>
          <w:b w:val="false"/>
          <w:color w:val="000000"/>
          <w:sz w:val="20"/>
        </w:rPr>
      </w:pPr>
      <w:r>
        <w:rPr>
          <w:rFonts w:ascii="Times New Roman;serif" w:hAnsi="Times New Roman;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0" w:after="120"/>
        <w:ind w:left="0" w:right="0" w:hanging="1310"/>
        <w:jc w:val="left"/>
        <w:rPr>
          <w:rFonts w:ascii="Times New Roman;serif" w:hAnsi="Times New Roman;serif"/>
          <w:b w:val="false"/>
          <w:color w:val="000000"/>
          <w:sz w:val="20"/>
        </w:rPr>
      </w:pPr>
      <w:r>
        <w:rPr>
          <w:rFonts w:ascii="Times New Roman;serif" w:hAnsi="Times New Roman;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0" w:after="120"/>
        <w:ind w:left="0" w:right="0" w:hanging="1310"/>
        <w:jc w:val="left"/>
        <w:rPr>
          <w:rFonts w:ascii="Times New Roman;serif" w:hAnsi="Times New Roman;serif"/>
          <w:b w:val="false"/>
          <w:color w:val="000000"/>
          <w:sz w:val="20"/>
        </w:rPr>
      </w:pPr>
      <w:r>
        <w:rPr>
          <w:rFonts w:ascii="Times New Roman;serif" w:hAnsi="Times New Roman;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0" w:after="120"/>
        <w:ind w:left="0" w:right="0" w:hanging="1310"/>
        <w:jc w:val="left"/>
        <w:rPr>
          <w:rFonts w:ascii="Times New Roman;serif" w:hAnsi="Times New Roman;serif"/>
          <w:b w:val="false"/>
          <w:color w:val="000000"/>
          <w:sz w:val="20"/>
        </w:rPr>
      </w:pPr>
      <w:r>
        <w:rPr>
          <w:rFonts w:ascii="Times New Roman;serif" w:hAnsi="Times New Roman;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0" w:after="120"/>
        <w:ind w:left="0" w:right="0" w:hanging="1310"/>
        <w:jc w:val="left"/>
        <w:rPr>
          <w:rFonts w:ascii="Times New Roman;serif" w:hAnsi="Times New Roman;serif"/>
          <w:b w:val="false"/>
          <w:color w:val="000000"/>
          <w:sz w:val="20"/>
        </w:rPr>
      </w:pPr>
      <w:r>
        <w:rPr>
          <w:rFonts w:ascii="Times New Roman;serif" w:hAnsi="Times New Roman;serif"/>
          <w:b w:val="false"/>
          <w:color w:val="000000"/>
          <w:sz w:val="20"/>
        </w:rPr>
        <w:t xml:space="preserve">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0" w:after="120"/>
        <w:ind w:left="0" w:right="0" w:hanging="1310"/>
        <w:jc w:val="left"/>
        <w:rPr>
          <w:rFonts w:ascii="Times New Roman;serif" w:hAnsi="Times New Roman;serif"/>
          <w:b w:val="false"/>
          <w:color w:val="000000"/>
          <w:sz w:val="20"/>
        </w:rPr>
      </w:pPr>
      <w:r>
        <w:rPr>
          <w:rFonts w:ascii="Times New Roman;serif" w:hAnsi="Times New Roman;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0" w:after="360"/>
        <w:ind w:left="0" w:right="0" w:hanging="131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6449" w:type="dxa"/>
        <w:jc w:val="center"/>
        <w:tblInd w:w="0" w:type="dxa"/>
        <w:tblLayout w:type="fixed"/>
        <w:tblCellMar>
          <w:top w:w="28" w:type="dxa"/>
          <w:left w:w="28" w:type="dxa"/>
          <w:bottom w:w="28" w:type="dxa"/>
          <w:right w:w="28" w:type="dxa"/>
        </w:tblCellMar>
      </w:tblPr>
      <w:tblGrid>
        <w:gridCol w:w="580"/>
        <w:gridCol w:w="511"/>
        <w:gridCol w:w="514"/>
        <w:gridCol w:w="134"/>
        <w:gridCol w:w="134"/>
        <w:gridCol w:w="136"/>
        <w:gridCol w:w="1299"/>
        <w:gridCol w:w="1299"/>
        <w:gridCol w:w="1842"/>
      </w:tblGrid>
      <w:tr>
        <w:trPr/>
        <w:tc>
          <w:tcPr>
            <w:tcW w:w="58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842"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July 8, 2026</w:t>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Shane O’Connor</w:t>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Shane O’Connor</w:t>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EXECUTIVE OFFICER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 SECTION</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906 OF THE SARBANES-OXLEY ACT OF 2002</w:t>
      </w:r>
    </w:p>
    <w:p>
      <w:pPr>
        <w:pStyle w:val="TextBody"/>
        <w:bidi w:val="0"/>
        <w:spacing w:lineRule="auto" w:line="288" w:before="0" w:after="120"/>
        <w:ind w:left="0" w:right="0" w:firstLine="1350"/>
        <w:jc w:val="left"/>
        <w:rPr>
          <w:rFonts w:ascii="Times New Roman;serif" w:hAnsi="Times New Roman;serif"/>
          <w:b w:val="false"/>
          <w:color w:val="000000"/>
          <w:sz w:val="20"/>
        </w:rPr>
      </w:pPr>
      <w:r>
        <w:rPr>
          <w:rFonts w:ascii="Times New Roman;serif" w:hAnsi="Times New Roman;serif"/>
          <w:b w:val="false"/>
          <w:color w:val="000000"/>
          <w:sz w:val="20"/>
        </w:rPr>
        <w:t>Pursuant to 18 U.S.C. Section 1350, as adopted pursuant to Section 906 of the Sarbanes-Oxley Act of 2002 (subsections (a) and (b) of Section 1350, Chapter 63 of Title 18, United States Code), I, Steven S. Sintros, President and Chief Executive Officer of UniFirst Corporation (the “Company”), and the Company’s Principal Executive Officer, do hereby certify, to the best of my knowledge, that:</w:t>
      </w:r>
    </w:p>
    <w:p>
      <w:pPr>
        <w:pStyle w:val="TextBody"/>
        <w:bidi w:val="0"/>
        <w:spacing w:lineRule="auto" w:line="288" w:before="0" w:after="120"/>
        <w:ind w:left="0" w:right="0" w:hanging="1282"/>
        <w:jc w:val="left"/>
        <w:rPr>
          <w:rFonts w:ascii="Times New Roman;serif" w:hAnsi="Times New Roman;serif"/>
          <w:b w:val="false"/>
          <w:color w:val="000000"/>
          <w:sz w:val="20"/>
        </w:rPr>
      </w:pPr>
      <w:r>
        <w:rPr>
          <w:rFonts w:ascii="Times New Roman;serif" w:hAnsi="Times New Roman;serif"/>
          <w:b w:val="false"/>
          <w:color w:val="000000"/>
          <w:sz w:val="20"/>
        </w:rPr>
        <w:t xml:space="preserve">(1)The Company’s Quarterly Report on Form 10-Q for the quarter ended May 30, 2026 (the “Report”) fully complies with the requirements of Section 13(a) or 15(d) of the Securities Exchange Act of 1934; and </w:t>
      </w:r>
    </w:p>
    <w:p>
      <w:pPr>
        <w:pStyle w:val="TextBody"/>
        <w:bidi w:val="0"/>
        <w:spacing w:lineRule="auto" w:line="288" w:before="0" w:after="360"/>
        <w:ind w:left="0" w:right="0" w:hanging="1282"/>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5219" w:type="dxa"/>
        <w:jc w:val="left"/>
        <w:tblInd w:w="0" w:type="dxa"/>
        <w:tblLayout w:type="fixed"/>
        <w:tblCellMar>
          <w:top w:w="28" w:type="dxa"/>
          <w:left w:w="28" w:type="dxa"/>
          <w:bottom w:w="28" w:type="dxa"/>
          <w:right w:w="28" w:type="dxa"/>
        </w:tblCellMar>
      </w:tblPr>
      <w:tblGrid>
        <w:gridCol w:w="580"/>
        <w:gridCol w:w="511"/>
        <w:gridCol w:w="514"/>
        <w:gridCol w:w="134"/>
        <w:gridCol w:w="134"/>
        <w:gridCol w:w="136"/>
        <w:gridCol w:w="939"/>
        <w:gridCol w:w="939"/>
        <w:gridCol w:w="1332"/>
      </w:tblGrid>
      <w:tr>
        <w:trPr/>
        <w:tc>
          <w:tcPr>
            <w:tcW w:w="58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July 8, 2026</w:t>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Steven S. Sintros</w:t>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Steven S. Sintros</w:t>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p>
            <w:pPr>
              <w:pStyle w:val="TableContents"/>
              <w:bidi w:val="0"/>
              <w:spacing w:lineRule="auto" w:line="276" w:before="0" w:after="20"/>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FINANCIAL OFFICER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 SECTION</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906 OF THE SARBANES-OXLEY ACT OF 2002</w:t>
      </w:r>
    </w:p>
    <w:p>
      <w:pPr>
        <w:pStyle w:val="TextBody"/>
        <w:bidi w:val="0"/>
        <w:spacing w:lineRule="auto" w:line="288" w:before="0" w:after="120"/>
        <w:ind w:left="0" w:right="0" w:firstLine="1350"/>
        <w:jc w:val="left"/>
        <w:rPr>
          <w:rFonts w:ascii="Times New Roman;serif" w:hAnsi="Times New Roman;serif"/>
          <w:b w:val="false"/>
          <w:color w:val="000000"/>
          <w:sz w:val="20"/>
        </w:rPr>
      </w:pPr>
      <w:r>
        <w:rPr>
          <w:rFonts w:ascii="Times New Roman;serif" w:hAnsi="Times New Roman;serif"/>
          <w:b w:val="false"/>
          <w:color w:val="000000"/>
          <w:sz w:val="20"/>
        </w:rPr>
        <w:t>Pursuant to 18 U.S.C. Section 1350, as adopted pursuant to Section 906 of the Sarbanes-Oxley Act of 2002 (subsections (a) and (b) of Section 1350, Chapter 63 of Title 18, United States Code), I, Shane O’Connor, Executive Vice President and Chief Financial Officer of UniFirst Corporation (the “Company”), do hereby certify, to the best of my knowledge, that:</w:t>
      </w:r>
    </w:p>
    <w:p>
      <w:pPr>
        <w:pStyle w:val="TextBody"/>
        <w:bidi w:val="0"/>
        <w:spacing w:lineRule="auto" w:line="288" w:before="0" w:after="120"/>
        <w:ind w:left="0" w:right="0" w:hanging="1282"/>
        <w:jc w:val="left"/>
        <w:rPr>
          <w:rFonts w:ascii="Times New Roman;serif" w:hAnsi="Times New Roman;serif"/>
          <w:b w:val="false"/>
          <w:color w:val="000000"/>
          <w:sz w:val="20"/>
        </w:rPr>
      </w:pPr>
      <w:r>
        <w:rPr>
          <w:rFonts w:ascii="Times New Roman;serif" w:hAnsi="Times New Roman;serif"/>
          <w:b w:val="false"/>
          <w:color w:val="000000"/>
          <w:sz w:val="20"/>
        </w:rPr>
        <w:t xml:space="preserve">(1)The Company’s Quarterly Report on Form 10-Q for the quarter ended May 30, 2026 (the “Report”) fully complies with the requirements of Section 13(a) or 15(d) of the Securities Exchange Act of 1934; and </w:t>
      </w:r>
    </w:p>
    <w:p>
      <w:pPr>
        <w:pStyle w:val="TextBody"/>
        <w:bidi w:val="0"/>
        <w:spacing w:lineRule="auto" w:line="288" w:before="0" w:after="360"/>
        <w:ind w:left="0" w:right="0" w:hanging="1282"/>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6449" w:type="dxa"/>
        <w:jc w:val="left"/>
        <w:tblInd w:w="0" w:type="dxa"/>
        <w:tblLayout w:type="fixed"/>
        <w:tblCellMar>
          <w:top w:w="28" w:type="dxa"/>
          <w:left w:w="28" w:type="dxa"/>
          <w:bottom w:w="28" w:type="dxa"/>
          <w:right w:w="28" w:type="dxa"/>
        </w:tblCellMar>
      </w:tblPr>
      <w:tblGrid>
        <w:gridCol w:w="580"/>
        <w:gridCol w:w="511"/>
        <w:gridCol w:w="514"/>
        <w:gridCol w:w="134"/>
        <w:gridCol w:w="134"/>
        <w:gridCol w:w="136"/>
        <w:gridCol w:w="1299"/>
        <w:gridCol w:w="1299"/>
        <w:gridCol w:w="1842"/>
      </w:tblGrid>
      <w:tr>
        <w:trPr/>
        <w:tc>
          <w:tcPr>
            <w:tcW w:w="58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842"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July 8, 2026</w:t>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Shane O’Connor</w:t>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Shane O’Connor</w:t>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p>
            <w:pPr>
              <w:pStyle w:val="TableContents"/>
              <w:bidi w:val="0"/>
              <w:spacing w:lineRule="auto" w:line="276" w:before="0" w:after="20"/>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717954/000119312526101128/d55520dex21.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21790</Words>
  <Characters>121021</Characters>
  <CharactersWithSpaces>141212</CharactersWithSpaces>
  <Paragraphs>2847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