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60"/>
        <w:spacing w:after="0"/>
        <w:rPr>
          <w:sz w:val="20"/>
          <w:szCs w:val="20"/>
          <w:color w:val="auto"/>
        </w:rPr>
      </w:pPr>
      <w:r>
        <w:rPr>
          <w:rFonts w:ascii="Arial" w:cs="Arial" w:eastAsia="Arial" w:hAnsi="Arial"/>
          <w:sz w:val="17"/>
          <w:szCs w:val="17"/>
          <w:color w:val="auto"/>
        </w:rPr>
        <w:t>Filed by Cintas Corporation</w:t>
      </w:r>
    </w:p>
    <w:p>
      <w:pPr>
        <w:spacing w:after="0" w:line="25" w:lineRule="exact"/>
        <w:rPr>
          <w:sz w:val="24"/>
          <w:szCs w:val="24"/>
          <w:color w:val="auto"/>
        </w:rPr>
      </w:pPr>
    </w:p>
    <w:p>
      <w:pPr>
        <w:ind w:left="8520"/>
        <w:spacing w:after="0"/>
        <w:rPr>
          <w:sz w:val="20"/>
          <w:szCs w:val="20"/>
          <w:color w:val="auto"/>
        </w:rPr>
      </w:pPr>
      <w:r>
        <w:rPr>
          <w:rFonts w:ascii="Arial" w:cs="Arial" w:eastAsia="Arial" w:hAnsi="Arial"/>
          <w:sz w:val="17"/>
          <w:szCs w:val="17"/>
          <w:color w:val="auto"/>
        </w:rPr>
        <w:t>(Commission File No.: 000-11399)</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Deemed filed pursuant to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UniFirst Corporation</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001-08504)</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26, 2026</w:t>
      </w:r>
    </w:p>
    <w:p>
      <w:pPr>
        <w:spacing w:after="0" w:line="195"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color w:val="auto"/>
        </w:rPr>
        <w:t>The following is a transcript of a video uploaded publicly by Cintas Corporation:</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 Schneider All UniFirst Team-Partner Video Transcript</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TODD SCHNEIDER:</w:t>
      </w:r>
    </w:p>
    <w:p>
      <w:pPr>
        <w:spacing w:after="0" w:line="204" w:lineRule="exact"/>
        <w:rPr>
          <w:sz w:val="24"/>
          <w:szCs w:val="24"/>
          <w:color w:val="auto"/>
        </w:rPr>
      </w:pPr>
    </w:p>
    <w:p>
      <w:pPr>
        <w:jc w:val="both"/>
        <w:spacing w:after="0" w:line="257" w:lineRule="auto"/>
        <w:rPr>
          <w:sz w:val="20"/>
          <w:szCs w:val="20"/>
          <w:color w:val="auto"/>
        </w:rPr>
      </w:pPr>
      <w:r>
        <w:rPr>
          <w:rFonts w:ascii="Arial" w:cs="Arial" w:eastAsia="Arial" w:hAnsi="Arial"/>
          <w:sz w:val="20"/>
          <w:szCs w:val="20"/>
          <w:color w:val="auto"/>
        </w:rPr>
        <w:t>Hello everyone, I’m Todd Schneider, President and CEO of Cintas. When I last spoke with you, I mentioned I’d be back in touch as our path to closing progressed.</w:t>
      </w:r>
    </w:p>
    <w:p>
      <w:pPr>
        <w:spacing w:after="0" w:line="155" w:lineRule="exact"/>
        <w:rPr>
          <w:sz w:val="24"/>
          <w:szCs w:val="24"/>
          <w:color w:val="auto"/>
        </w:rPr>
      </w:pPr>
    </w:p>
    <w:p>
      <w:pPr>
        <w:jc w:val="both"/>
        <w:spacing w:after="0" w:line="241" w:lineRule="auto"/>
        <w:rPr>
          <w:sz w:val="20"/>
          <w:szCs w:val="20"/>
          <w:color w:val="auto"/>
        </w:rPr>
      </w:pPr>
      <w:r>
        <w:rPr>
          <w:rFonts w:ascii="Arial" w:cs="Arial" w:eastAsia="Arial" w:hAnsi="Arial"/>
          <w:sz w:val="20"/>
          <w:szCs w:val="20"/>
          <w:color w:val="auto"/>
        </w:rPr>
        <w:t>Across dozens of meetings and workstreams, our integration planning leaders are making valuable connections and getting more excited each day about what UniFirst will contribute and what we expect to accomplish together once our combination is complete.</w:t>
      </w:r>
    </w:p>
    <w:p>
      <w:pPr>
        <w:spacing w:after="0" w:line="171" w:lineRule="exact"/>
        <w:rPr>
          <w:sz w:val="24"/>
          <w:szCs w:val="24"/>
          <w:color w:val="auto"/>
        </w:rPr>
      </w:pPr>
    </w:p>
    <w:p>
      <w:pPr>
        <w:jc w:val="both"/>
        <w:ind w:right="20"/>
        <w:spacing w:after="0" w:line="257" w:lineRule="auto"/>
        <w:rPr>
          <w:sz w:val="20"/>
          <w:szCs w:val="20"/>
          <w:color w:val="auto"/>
        </w:rPr>
      </w:pPr>
      <w:r>
        <w:rPr>
          <w:rFonts w:ascii="Arial" w:cs="Arial" w:eastAsia="Arial" w:hAnsi="Arial"/>
          <w:sz w:val="20"/>
          <w:szCs w:val="20"/>
          <w:color w:val="auto"/>
        </w:rPr>
        <w:t>I’ve had the personal pleasure of meeting with great folks across your organization, including meetings with the UniFirst operational and sales leadership teams, and the UniTech leadership team.</w:t>
      </w:r>
    </w:p>
    <w:p>
      <w:pPr>
        <w:spacing w:after="0" w:line="155" w:lineRule="exact"/>
        <w:rPr>
          <w:sz w:val="24"/>
          <w:szCs w:val="24"/>
          <w:color w:val="auto"/>
        </w:rPr>
      </w:pPr>
    </w:p>
    <w:p>
      <w:pPr>
        <w:jc w:val="both"/>
        <w:spacing w:after="0" w:line="257" w:lineRule="auto"/>
        <w:rPr>
          <w:sz w:val="20"/>
          <w:szCs w:val="20"/>
          <w:color w:val="auto"/>
        </w:rPr>
      </w:pPr>
      <w:r>
        <w:rPr>
          <w:rFonts w:ascii="Arial" w:cs="Arial" w:eastAsia="Arial" w:hAnsi="Arial"/>
          <w:sz w:val="20"/>
          <w:szCs w:val="20"/>
          <w:color w:val="auto"/>
        </w:rPr>
        <w:t>This work is further confirmation that your Team Partners will be a natural fit within Cintas, given our shared attitudes toward great service and products, and the focus and dedication you bring to work each and every single day.</w:t>
      </w:r>
    </w:p>
    <w:p>
      <w:pPr>
        <w:spacing w:after="0" w:line="155" w:lineRule="exact"/>
        <w:rPr>
          <w:sz w:val="24"/>
          <w:szCs w:val="24"/>
          <w:color w:val="auto"/>
        </w:rPr>
      </w:pPr>
    </w:p>
    <w:p>
      <w:pPr>
        <w:jc w:val="both"/>
        <w:spacing w:after="0" w:line="257" w:lineRule="auto"/>
        <w:rPr>
          <w:sz w:val="20"/>
          <w:szCs w:val="20"/>
          <w:color w:val="auto"/>
        </w:rPr>
      </w:pPr>
      <w:r>
        <w:rPr>
          <w:rFonts w:ascii="Arial" w:cs="Arial" w:eastAsia="Arial" w:hAnsi="Arial"/>
          <w:sz w:val="20"/>
          <w:szCs w:val="20"/>
          <w:color w:val="auto"/>
        </w:rPr>
        <w:t>There is a lot to look forward to, so let me provide you with an update on where things stand in our process toward closing and day one.</w:t>
      </w:r>
    </w:p>
    <w:p>
      <w:pPr>
        <w:spacing w:after="0" w:line="155" w:lineRule="exact"/>
        <w:rPr>
          <w:sz w:val="24"/>
          <w:szCs w:val="24"/>
          <w:color w:val="auto"/>
        </w:rPr>
      </w:pPr>
    </w:p>
    <w:p>
      <w:pPr>
        <w:jc w:val="both"/>
        <w:spacing w:after="0" w:line="257" w:lineRule="auto"/>
        <w:rPr>
          <w:sz w:val="20"/>
          <w:szCs w:val="20"/>
          <w:color w:val="auto"/>
        </w:rPr>
      </w:pPr>
      <w:r>
        <w:rPr>
          <w:rFonts w:ascii="Arial" w:cs="Arial" w:eastAsia="Arial" w:hAnsi="Arial"/>
          <w:sz w:val="20"/>
          <w:szCs w:val="20"/>
          <w:color w:val="auto"/>
        </w:rPr>
        <w:t>Earlier this month, Cintas elected to withdraw and refile our notifications with the FTC to give them additional time to complete their review of the transaction.</w:t>
      </w:r>
    </w:p>
    <w:p>
      <w:pPr>
        <w:spacing w:after="0" w:line="155" w:lineRule="exact"/>
        <w:rPr>
          <w:sz w:val="24"/>
          <w:szCs w:val="24"/>
          <w:color w:val="auto"/>
        </w:rPr>
      </w:pPr>
    </w:p>
    <w:p>
      <w:pPr>
        <w:jc w:val="both"/>
        <w:spacing w:after="0" w:line="257" w:lineRule="auto"/>
        <w:rPr>
          <w:sz w:val="20"/>
          <w:szCs w:val="20"/>
          <w:color w:val="auto"/>
        </w:rPr>
      </w:pPr>
      <w:r>
        <w:rPr>
          <w:rFonts w:ascii="Arial" w:cs="Arial" w:eastAsia="Arial" w:hAnsi="Arial"/>
          <w:sz w:val="20"/>
          <w:szCs w:val="20"/>
          <w:color w:val="auto"/>
        </w:rPr>
        <w:t>This is a relatively common step in the process, particularly for a deal of this size, and it does not change our confidence in the transaction or our expected closing timeline.</w:t>
      </w:r>
    </w:p>
    <w:p>
      <w:pPr>
        <w:spacing w:after="0" w:line="155" w:lineRule="exact"/>
        <w:rPr>
          <w:sz w:val="24"/>
          <w:szCs w:val="24"/>
          <w:color w:val="auto"/>
        </w:rPr>
      </w:pPr>
    </w:p>
    <w:p>
      <w:pPr>
        <w:jc w:val="both"/>
        <w:spacing w:after="0" w:line="257" w:lineRule="auto"/>
        <w:rPr>
          <w:sz w:val="20"/>
          <w:szCs w:val="20"/>
          <w:color w:val="auto"/>
        </w:rPr>
      </w:pPr>
      <w:r>
        <w:rPr>
          <w:rFonts w:ascii="Arial" w:cs="Arial" w:eastAsia="Arial" w:hAnsi="Arial"/>
          <w:sz w:val="20"/>
          <w:szCs w:val="20"/>
          <w:color w:val="auto"/>
        </w:rPr>
        <w:t>We remain focused on supporting the FTC’s process and conveying the value this combination will bring to customers, team partners and businesses. I’m pleased to share that we continue to expect to close in the second half of this calendar year.</w:t>
      </w:r>
    </w:p>
    <w:p>
      <w:pPr>
        <w:spacing w:after="0" w:line="155" w:lineRule="exact"/>
        <w:rPr>
          <w:sz w:val="24"/>
          <w:szCs w:val="24"/>
          <w:color w:val="auto"/>
        </w:rPr>
      </w:pPr>
    </w:p>
    <w:p>
      <w:pPr>
        <w:jc w:val="both"/>
        <w:ind w:right="20"/>
        <w:spacing w:after="0" w:line="257" w:lineRule="auto"/>
        <w:rPr>
          <w:sz w:val="20"/>
          <w:szCs w:val="20"/>
          <w:color w:val="auto"/>
        </w:rPr>
      </w:pPr>
      <w:r>
        <w:rPr>
          <w:rFonts w:ascii="Arial" w:cs="Arial" w:eastAsia="Arial" w:hAnsi="Arial"/>
          <w:sz w:val="20"/>
          <w:szCs w:val="20"/>
          <w:color w:val="auto"/>
        </w:rPr>
        <w:t>While that process continues, the most important thing we can all do – across UniFirst and Cintas -- is to stay focused on taking care of our own customers and growing our own businesses – just as we always have.</w:t>
      </w:r>
    </w:p>
    <w:p>
      <w:pPr>
        <w:spacing w:after="0" w:line="155" w:lineRule="exact"/>
        <w:rPr>
          <w:sz w:val="24"/>
          <w:szCs w:val="24"/>
          <w:color w:val="auto"/>
        </w:rPr>
      </w:pPr>
    </w:p>
    <w:p>
      <w:pPr>
        <w:spacing w:after="0"/>
        <w:rPr>
          <w:sz w:val="20"/>
          <w:szCs w:val="20"/>
          <w:color w:val="auto"/>
        </w:rPr>
      </w:pPr>
      <w:r>
        <w:rPr>
          <w:rFonts w:ascii="Arial" w:cs="Arial" w:eastAsia="Arial" w:hAnsi="Arial"/>
          <w:sz w:val="20"/>
          <w:szCs w:val="20"/>
          <w:color w:val="auto"/>
        </w:rPr>
        <w:t>Then, when it’s time to close, we’ll be ready.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t>Now, I want to reiterate something I said when I first addressed you all because it was meaningful then and it’s meaningful now.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two most important assets in any integration are the customers… and the people who serve those customers.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You are a core component of this combination and the value we can create together. We don't have a bench of people at Cintas ready to serve an additional 300,000 customers, so we will need you post-close.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I want to be clear on this, because I know there has been speculation out there:</w:t>
      </w:r>
    </w:p>
    <w:p>
      <w:pPr>
        <w:spacing w:after="0" w:line="20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If you're an RSR, we will need all of you on your route taking care of your customers.</w:t>
      </w:r>
    </w:p>
    <w:p>
      <w:pPr>
        <w:spacing w:after="0" w:line="229" w:lineRule="exact"/>
        <w:rPr>
          <w:rFonts w:ascii="Arial" w:cs="Arial" w:eastAsia="Arial" w:hAnsi="Arial"/>
          <w:sz w:val="20"/>
          <w:szCs w:val="20"/>
          <w:b w:val="1"/>
          <w:bCs w:val="1"/>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If you're in sales, we will need all of you to join Cintas in growing our combined customer base.</w:t>
      </w:r>
    </w:p>
    <w:p>
      <w:pPr>
        <w:spacing w:after="0" w:line="229" w:lineRule="exact"/>
        <w:rPr>
          <w:rFonts w:ascii="Arial" w:cs="Arial" w:eastAsia="Arial" w:hAnsi="Arial"/>
          <w:sz w:val="20"/>
          <w:szCs w:val="20"/>
          <w:b w:val="1"/>
          <w:bCs w:val="1"/>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If you're running operations, we will need all your experience and expertise on day one.</w:t>
      </w:r>
    </w:p>
    <w:p>
      <w:pPr>
        <w:spacing w:after="0" w:line="229" w:lineRule="exact"/>
        <w:rPr>
          <w:rFonts w:ascii="Arial" w:cs="Arial" w:eastAsia="Arial" w:hAnsi="Arial"/>
          <w:sz w:val="20"/>
          <w:szCs w:val="20"/>
          <w:b w:val="1"/>
          <w:bCs w:val="1"/>
          <w:color w:val="auto"/>
        </w:rPr>
      </w:pPr>
    </w:p>
    <w:p>
      <w:pPr>
        <w:ind w:left="660" w:hanging="328"/>
        <w:spacing w:after="0" w:line="257" w:lineRule="auto"/>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color w:val="auto"/>
        </w:rPr>
        <w:t>And for the team in the Corporate headquarters: we’re going to need all your help bringing our two companies together without skipping a beat for our people or customers.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What made each of our companies great is the people and the culture they built together. UniFirst has built something special.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We know that, and we have no intention of losing it.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As a combined organization, we will serve approximately 1.5 million business customers across the United States and Canada.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That creates real opportunity – for growth, for investment, for our team and for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 hope you all share the excitement that we have for what’s ahead.</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We will keep you updated as appropriate as we continue on our path to closing. In the meantime, please continue to take care of your customers and each other.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contains forward-looking statements within the meaning of Section 21E of the Securities Exchange Act of 1934,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and Section 27A of the Securities Act of 1933, as amended (the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which involve risks and uncertainties.</w:t>
      </w:r>
    </w:p>
    <w:p>
      <w:pPr>
        <w:spacing w:after="0" w:line="234" w:lineRule="auto"/>
        <w:rPr>
          <w:sz w:val="20"/>
          <w:szCs w:val="20"/>
          <w:color w:val="auto"/>
        </w:rPr>
      </w:pPr>
      <w:r>
        <w:rPr>
          <w:rFonts w:ascii="Arial" w:cs="Arial" w:eastAsia="Arial" w:hAnsi="Arial"/>
          <w:sz w:val="18"/>
          <w:szCs w:val="18"/>
          <w:color w:val="auto"/>
        </w:rPr>
        <w:t>Any statements about Cintas’, UniFirst’s or the combined company’s plans, objectives, expectations, strategies, beliefs, or future</w:t>
      </w:r>
    </w:p>
    <w:p>
      <w:pPr>
        <w:spacing w:after="0" w:line="235" w:lineRule="auto"/>
        <w:rPr>
          <w:sz w:val="20"/>
          <w:szCs w:val="20"/>
          <w:color w:val="auto"/>
        </w:rPr>
      </w:pPr>
      <w:r>
        <w:rPr>
          <w:rFonts w:ascii="Arial" w:cs="Arial" w:eastAsia="Arial" w:hAnsi="Arial"/>
          <w:sz w:val="18"/>
          <w:szCs w:val="18"/>
          <w:color w:val="auto"/>
        </w:rPr>
        <w:t>performance or events and any other statements to the extent they are not statements of historical fact are forward-looking statements.</w:t>
      </w:r>
    </w:p>
    <w:p>
      <w:pPr>
        <w:spacing w:after="0" w:line="235" w:lineRule="auto"/>
        <w:rPr>
          <w:sz w:val="20"/>
          <w:szCs w:val="20"/>
          <w:color w:val="auto"/>
        </w:rPr>
      </w:pPr>
      <w:r>
        <w:rPr>
          <w:rFonts w:ascii="Arial" w:cs="Arial" w:eastAsia="Arial" w:hAnsi="Arial"/>
          <w:sz w:val="18"/>
          <w:szCs w:val="18"/>
          <w:color w:val="auto"/>
        </w:rPr>
        <w:t>Words, phrases or expressions such as “estimates,” “confident,” “continue,” “hope,” “likely,” “might,” “possible,” “potential,” “trend,”</w:t>
      </w:r>
    </w:p>
    <w:p>
      <w:pPr>
        <w:spacing w:after="0" w:line="235" w:lineRule="auto"/>
        <w:rPr>
          <w:sz w:val="20"/>
          <w:szCs w:val="20"/>
          <w:color w:val="auto"/>
        </w:rPr>
      </w:pPr>
      <w:r>
        <w:rPr>
          <w:rFonts w:ascii="Arial" w:cs="Arial" w:eastAsia="Arial" w:hAnsi="Arial"/>
          <w:sz w:val="18"/>
          <w:szCs w:val="18"/>
          <w:color w:val="auto"/>
        </w:rPr>
        <w:t>“anticipates,” “predicts,” “projects,” “plans,” “expects,” “intends,” “targets,” “forecasts,” “believes,” “seeks,” “could,” “should,” “may,” “will,”</w:t>
      </w:r>
    </w:p>
    <w:p>
      <w:pPr>
        <w:spacing w:after="0" w:line="235" w:lineRule="auto"/>
        <w:rPr>
          <w:sz w:val="20"/>
          <w:szCs w:val="20"/>
          <w:color w:val="auto"/>
        </w:rPr>
      </w:pPr>
      <w:r>
        <w:rPr>
          <w:rFonts w:ascii="Arial" w:cs="Arial" w:eastAsia="Arial" w:hAnsi="Arial"/>
          <w:sz w:val="18"/>
          <w:szCs w:val="18"/>
          <w:color w:val="auto"/>
        </w:rPr>
        <w:t>“strategy,” “objective,” and similar words, phrases or expressions or the negative versions thereof are intended to identify forward-looking</w:t>
      </w:r>
    </w:p>
    <w:p>
      <w:pPr>
        <w:spacing w:after="0" w:line="234" w:lineRule="auto"/>
        <w:rPr>
          <w:sz w:val="20"/>
          <w:szCs w:val="20"/>
          <w:color w:val="auto"/>
        </w:rPr>
      </w:pPr>
      <w:r>
        <w:rPr>
          <w:rFonts w:ascii="Arial" w:cs="Arial" w:eastAsia="Arial" w:hAnsi="Arial"/>
          <w:sz w:val="18"/>
          <w:szCs w:val="18"/>
          <w:color w:val="auto"/>
        </w:rPr>
        <w:t>statements but are not the exclusive means of identifying such statements. Forward-looking statements are based on information available</w:t>
      </w:r>
    </w:p>
    <w:p>
      <w:pPr>
        <w:spacing w:after="0" w:line="235" w:lineRule="auto"/>
        <w:rPr>
          <w:sz w:val="20"/>
          <w:szCs w:val="20"/>
          <w:color w:val="auto"/>
        </w:rPr>
      </w:pPr>
      <w:r>
        <w:rPr>
          <w:rFonts w:ascii="Arial" w:cs="Arial" w:eastAsia="Arial" w:hAnsi="Arial"/>
          <w:sz w:val="18"/>
          <w:szCs w:val="18"/>
          <w:color w:val="auto"/>
        </w:rPr>
        <w:t>and assumptions made at the time the statements are made. Forward-looking statements involve risks and uncertainties that could cause</w:t>
      </w:r>
    </w:p>
    <w:p>
      <w:pPr>
        <w:spacing w:after="0" w:line="235" w:lineRule="auto"/>
        <w:rPr>
          <w:sz w:val="20"/>
          <w:szCs w:val="20"/>
          <w:color w:val="auto"/>
        </w:rPr>
      </w:pPr>
      <w:r>
        <w:rPr>
          <w:rFonts w:ascii="Arial" w:cs="Arial" w:eastAsia="Arial" w:hAnsi="Arial"/>
          <w:sz w:val="18"/>
          <w:szCs w:val="18"/>
          <w:color w:val="auto"/>
        </w:rPr>
        <w:t>actual results to differ materially from those expressed in or implied by the forward-looking statements. Forward-looking statements in this</w:t>
      </w:r>
    </w:p>
    <w:p>
      <w:pPr>
        <w:spacing w:after="0" w:line="235" w:lineRule="auto"/>
        <w:rPr>
          <w:sz w:val="20"/>
          <w:szCs w:val="20"/>
          <w:color w:val="auto"/>
        </w:rPr>
      </w:pPr>
      <w:r>
        <w:rPr>
          <w:rFonts w:ascii="Arial" w:cs="Arial" w:eastAsia="Arial" w:hAnsi="Arial"/>
          <w:sz w:val="18"/>
          <w:szCs w:val="18"/>
          <w:color w:val="auto"/>
        </w:rPr>
        <w:t>communication include, but are not limited to, statements about the benefits of the transaction between Cintas and UniFirst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including future financial and operating results, the combined company’s plans, objectives, expectations and intentions, and</w:t>
      </w:r>
    </w:p>
    <w:p>
      <w:pPr>
        <w:spacing w:after="0"/>
        <w:rPr>
          <w:sz w:val="20"/>
          <w:szCs w:val="20"/>
          <w:color w:val="auto"/>
        </w:rPr>
      </w:pPr>
      <w:r>
        <w:rPr>
          <w:rFonts w:ascii="Arial" w:cs="Arial" w:eastAsia="Arial" w:hAnsi="Arial"/>
          <w:sz w:val="18"/>
          <w:szCs w:val="18"/>
          <w:color w:val="auto"/>
        </w:rPr>
        <w:t>other statements that are not historical facts.</w:t>
      </w:r>
    </w:p>
    <w:p>
      <w:pPr>
        <w:spacing w:after="0" w:line="18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spacing w:after="0" w:line="172" w:lineRule="exact"/>
        <w:rPr>
          <w:sz w:val="20"/>
          <w:szCs w:val="20"/>
          <w:color w:val="auto"/>
        </w:rPr>
      </w:pPr>
    </w:p>
    <w:p>
      <w:pPr>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Additional important factors relating to Cintas that could cause actual results to differ from those in forward-looking statements include, but are not limited to, the possibility of greater than anticipated operating costs including energy and fuel costs; lower sales volumes; loss of customers due to outsourcing trends; the performance and costs of integration of acquisitions; supply chain constraints and macroeconomic conditions, including inflationary pressures and higher interest rates; changes in global trade policies, tariffs, and other measures that could restrict international trade; fluctuations in costs of materials and labor, including increased medical costs; costs and possible effects of union organizing activities; failure to comply with government regulations concerning employment discrimination, employee pay and benefits and employee health and safety; the effect on operations of exchange rate fluctuations, and other political, economic and regulatory risks; uncertainties regarding any existing or newly-discovered expenses and liabilities related to environmental compliance and remediation; Cintas’ ability to meet its aspirations relating to sustainability opportunities, improvements and efficiencies; the cost, results and ongoing assessment of internal controls over financial reporting; the effect of new accounting pronouncements; risks associated with cybersecurity threats, including disruptions caused by the inaccessibility of computer systems data and cybersecurity risk management; the initiation or outcome of litigation, investigations or other proceedings; higher assumed sourcing or distribution costs of products; the disruption of operations from catastrophic or extraordinary events including global health pandemics; the amount and timing of repurchases of Cintas’ common stock, if any; changes in global tax and labor laws; the reactions of competitors in terms of price and service; and the other risks and contingencies detailed in Cintas’ most recent </w:t>
      </w:r>
      <w:hyperlink r:id="rId10">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its other filings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right="4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Additional important factors relating to UniFirst that could cause actual results to differ materially from those in forward-looking statements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 between Russia and Ukraine and disruption in the Middle East, and their impact on UniFirst’s customers’ businesses and workforce levels; disruptions of UniFirst’s business and operations, including limitations on, or closures of, UniFirst’s facilities, or the business and operations of UniFirst’s customers or suppliers in connection with extraordinary events or circumstances; uncertainties regarding UniFirst’s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UniFirst’s ability to compete successfully without any significant degradation in UniFirst’s margin rates, seasonal and quarterly fluctuations in business levels; UniFirst’s ability to preserve positive labor relationships and avoid becoming the target of corporate labor unionization campaigns that could disrupt UniFirst’s business; the effect of currency fluctuations on UniFirst’s results of operations and financial condition; UniFirst’s dependence on third parties to supply UniFirst with raw materials, which such supply could be severely disrupted as a result of extraordinary events or circumstances such as the conflict between Russia and Ukraine;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UniFirst’s business from sharply depressed oil and natural gas prices; the continuing increase in domestic healthcare costs, increased workers’ compensation claim costs, increased healthcare claim costs; UniFirst’s ability to retain and grow its customer base, demand and prices for UniFirst’s products and services; fluctuations in UniFirst’s nuclear business; political or other instability; supply chain disruption or infection among UniFirst’s employees in Mexico and Nicaragua where UniFirst’s principal garment manufacturing plants are located; UniFirst’s ability to properly and efficiently design, construct, implement and operate a new enterprise resource planning (“ERP”) computer system; interruptions or failures of UniFirst’s information technology systems, including as a result of cyber-attacks; additional professional and internal costs necessary for compliance with any changes in or additional SEC, NYSE and accounting or other rules; strikes and unemployment levels; UniFirst’s efforts to evaluate and potentially reduce internal costs; the impact of U.S. and foreign trade policies and tariffs or other impositions on imported goods on UniFirst’s business, results of operations and financial condition; UniFirst’s ability to successfully implement its business strategies and processes, including UniFirst’s capital allocation strategies; UniFirst’s ability to successfully remediate the material weakness in internal control over financial reporting disclosed in UniFirst’s </w:t>
      </w:r>
      <w:hyperlink r:id="rId12">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August 30, 2025, filed with the SEC on October 29, 2025, in an appropriate and timely matter or at all; and the other risks and contingencies detailed in UniFirst’s most recent Annual Report on Form 10-K and its other filings with the SEC.</w:t>
      </w:r>
    </w:p>
    <w:p>
      <w:pPr>
        <w:spacing w:after="0" w:line="17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These factors are not necessarily all of the factors that could cause Cintas’, UniFirst’s or the combined company’s actual results, performance, or achievements to differ materially from those expressed in or implied by any forward-looking statements. Other unknown or unpredictable factors also could harm Cintas’, UniFirst’s or the combined company’s results.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forward-looking statements attributable to Cintas, UniFirst, or the combined company, or persons acting on Cintas’ or UniFirst’s behalf, are expressly qualified in their entirety by the cautionary statements set forth above. Forward-looking statements speak only as of the date they are made, and Cintas and UniFirst do not undertake or assume any obligation to update publicly any of these statements to reflect actual results, new information or future events, changes in assumptions, or changes in other factors affecting forward-looking statements, except to the extent required by applicable law. If Cintas or UniFirst updates one or more forward-looking statements, no inference should be drawn that Cintas or UniFirst will make additional updates with respect to those or other forward-looking statements. Further information regarding Cintas, UniFirst and factors that could affect the forward-looking statements contained herein can be found in Cintas’ Annual Report on Form 10-K, its Quarterly Reports on Form 10-Q, and its other filings with the SEC, and in UniFirst’s Annual Report on Form 10-K, its Quarterly Reports on Form 10-Q, and its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 Offer or Solicitation</w:t>
      </w:r>
    </w:p>
    <w:p>
      <w:pPr>
        <w:spacing w:after="0" w:line="19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This communication is not an offer to sell or the solicitation of an offer to buy any securities, nor shall there be any sale of securities in any jurisdiction in which such offer, solicitation or sale would be unlawful prior to registration or qualification under the securities laws of such jurisdiction. No offer of securities shall be made except by means of a prospectus meeting the requirements of Section 10 of the Securities Act of 1933.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connection with the Transaction, Cintas filed with the SEC a Registration Statement on Form S-4 (SEC File No. 333-295330) to register the shares of Cintas common stock to be issued in connection with the Transaction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was declared effective by the SEC on May 6, 2026. The Registration Statement includes a proxy statement of UniFirst that also constitutes a prospectus of Cintas. The definitive proxy statement/prospectus was first mailed to the shareholders of UniFirst on or about May 12, 2026, seeking their approval of the Transaction and other related matters.</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INVESTORS AND SECURITY HOLDERS ARE URGED TO READ THE REGISTRATION STATEMENT ON FORM S-4 AND THE PROXY STATEMENT/PROSPECTUS, AS WELL AS ANY OTHER RELEVANT DOCUMENTS FILED WITH THE SEC IN CONNECTION WITH THE TRANSACTION OR INCORPORATED BY REFERENCE INTO THE PROXY STATEMENT/PROSPECTUS, BECAUSE THEY CONTAIN OR WILL CONTAIN IMPORTANT INFORMATION REGARDING CINTAS, UNIFIRST, THE TRANSACTION AND RELATED MATTERS.</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Investors and security holders may obtain free copies of these documents and other documents filed with the SEC by Cintas or UniFirst through the website maintained by the SEC at http://www.sec.gov or from Cintas at its website, https://www.cintas.com, or from UniFirst at its website, https://www.unifirst.com (information included on or accessible through either of Cintas’ or UniFirst’s website is not incorporated by reference into this communication).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8" w:lineRule="exact"/>
        <w:rPr>
          <w:sz w:val="20"/>
          <w:szCs w:val="20"/>
          <w:color w:val="auto"/>
        </w:rPr>
      </w:pPr>
    </w:p>
    <w:p>
      <w:pPr>
        <w:ind w:right="20"/>
        <w:spacing w:after="0" w:line="235" w:lineRule="auto"/>
        <w:rPr>
          <w:rFonts w:ascii="Arial" w:cs="Arial" w:eastAsia="Arial" w:hAnsi="Arial"/>
          <w:sz w:val="18"/>
          <w:szCs w:val="18"/>
          <w:color w:val="000000"/>
        </w:rPr>
      </w:pPr>
      <w:r>
        <w:rPr>
          <w:rFonts w:ascii="Arial" w:cs="Arial" w:eastAsia="Arial" w:hAnsi="Arial"/>
          <w:sz w:val="18"/>
          <w:szCs w:val="18"/>
          <w:color w:val="auto"/>
        </w:rPr>
        <w:t xml:space="preserve">Cintas, UniFirst, their respective directors and certain of their respective executive officers may be deemed to be participants in the solicitation of proxies in connection with the Transaction under the rules of the SEC. The proxy statement/prospectus filed with the SEC as part of the Registration Statement on Form S-4 in connection with the Transaction includes information about the interests of the directors and executive officers of UniFirst and other persons who may be deemed to be participants in the solicitation of proxies in connection with the Transaction and a description of their direct and indirect interests, by security holdings or otherwise. Information about the directors and executive officers of Cintas and their compensation and ownership of Cintas common stock is set forth under the headings “Election of Directors”, “Board’s Roles and Responsibilities”, “Board Committees and Meetings”, “Nonemployee Director Compensation”, “Director Compensation Table”, “Compensation Committee Report”, “Executive Compensation”, “Compensation Discussion and Analysis”, “Summary Compensation Table”, “Grants of Plan-Based Awards Table”, “Outstanding Equity Awards Table”, “Option Exercises and Stock Vested Table”, “Nonqualified Deferred Compensation”, “Potential Payments upon Termination, Retirement or Change in Control”, “CEO Pay Ratio”, “Pay Versus Performance”, “Approval, on an Advisory Basis, of Named Executive Officer Compensation”, “Principal Shareholders”, “Security Ownership of Director Nominees and Named Executive Officers” and “Related Party Transactions,” respectively, in the </w:t>
      </w:r>
      <w:hyperlink r:id="rId14">
        <w:r>
          <w:rPr>
            <w:rFonts w:ascii="Arial" w:cs="Arial" w:eastAsia="Arial" w:hAnsi="Arial"/>
            <w:sz w:val="18"/>
            <w:szCs w:val="18"/>
            <w:u w:val="single" w:color="auto"/>
            <w:color w:val="0592FF"/>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Cintas’ 2025 Annual Meeting of Shareholders, filed with the SEC on September 16, 2025; under the heading “Security Ownership of Certain Beneficial Owners and Management and Related Stockholder Matters” in Cintas’ </w:t>
      </w:r>
      <w:hyperlink r:id="rId15">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May 31, 2025, filed with the SEC on July 28, 2025; in the supplemental information regarding the participants’ holdings of the Cintas’ securities can be found in SEC filings on Statements of Change in Ownership on Form 4 filed with the SEC on October 31, 2025 (available </w:t>
      </w:r>
      <w:hyperlink r:id="rId16">
        <w:r>
          <w:rPr>
            <w:rFonts w:ascii="Arial" w:cs="Arial" w:eastAsia="Arial" w:hAnsi="Arial"/>
            <w:sz w:val="18"/>
            <w:szCs w:val="18"/>
            <w:u w:val="single" w:color="auto"/>
            <w:color w:val="0000EE"/>
          </w:rPr>
          <w:t>here</w:t>
        </w:r>
      </w:hyperlink>
      <w:r>
        <w:rPr>
          <w:rFonts w:ascii="Arial" w:cs="Arial" w:eastAsia="Arial" w:hAnsi="Arial"/>
          <w:sz w:val="18"/>
          <w:szCs w:val="18"/>
          <w:color w:val="auto"/>
        </w:rPr>
        <w:t xml:space="preserve">), December 17, 2025 (available </w:t>
      </w:r>
      <w:hyperlink r:id="rId17">
        <w:r>
          <w:rPr>
            <w:rFonts w:ascii="Arial" w:cs="Arial" w:eastAsia="Arial" w:hAnsi="Arial"/>
            <w:sz w:val="18"/>
            <w:szCs w:val="18"/>
            <w:u w:val="single" w:color="auto"/>
            <w:color w:val="0000EE"/>
          </w:rPr>
          <w:t>here</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here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here</w:t>
        </w:r>
      </w:hyperlink>
      <w:r>
        <w:rPr>
          <w:rFonts w:ascii="Arial" w:cs="Arial" w:eastAsia="Arial" w:hAnsi="Arial"/>
          <w:sz w:val="18"/>
          <w:szCs w:val="18"/>
          <w:color w:val="auto"/>
        </w:rPr>
        <w:t xml:space="preserve">), December 30, 2025 (available </w:t>
      </w:r>
      <w:hyperlink r:id="rId20">
        <w:r>
          <w:rPr>
            <w:rFonts w:ascii="Arial" w:cs="Arial" w:eastAsia="Arial" w:hAnsi="Arial"/>
            <w:sz w:val="18"/>
            <w:szCs w:val="18"/>
            <w:u w:val="single" w:color="auto"/>
            <w:color w:val="467886"/>
          </w:rPr>
          <w:t>here</w:t>
        </w:r>
      </w:hyperlink>
      <w:r>
        <w:rPr>
          <w:rFonts w:ascii="Arial" w:cs="Arial" w:eastAsia="Arial" w:hAnsi="Arial"/>
          <w:sz w:val="18"/>
          <w:szCs w:val="18"/>
          <w:color w:val="auto"/>
        </w:rPr>
        <w:t xml:space="preserve">), January 22, 2026 (available </w:t>
      </w:r>
      <w:hyperlink r:id="rId21">
        <w:r>
          <w:rPr>
            <w:rFonts w:ascii="Arial" w:cs="Arial" w:eastAsia="Arial" w:hAnsi="Arial"/>
            <w:sz w:val="18"/>
            <w:szCs w:val="18"/>
            <w:u w:val="single" w:color="auto"/>
            <w:color w:val="467886"/>
          </w:rPr>
          <w:t>here</w:t>
        </w:r>
      </w:hyperlink>
      <w:r>
        <w:rPr>
          <w:rFonts w:ascii="Arial" w:cs="Arial" w:eastAsia="Arial" w:hAnsi="Arial"/>
          <w:sz w:val="18"/>
          <w:szCs w:val="18"/>
          <w:color w:val="auto"/>
        </w:rPr>
        <w:t xml:space="preserve">) and January 30, 2026 (available </w:t>
      </w:r>
      <w:hyperlink r:id="rId22">
        <w:r>
          <w:rPr>
            <w:rFonts w:ascii="Arial" w:cs="Arial" w:eastAsia="Arial" w:hAnsi="Arial"/>
            <w:sz w:val="18"/>
            <w:szCs w:val="18"/>
            <w:u w:val="single" w:color="auto"/>
            <w:color w:val="467886"/>
          </w:rPr>
          <w:t>here</w:t>
        </w:r>
      </w:hyperlink>
      <w:r>
        <w:rPr>
          <w:rFonts w:ascii="Arial" w:cs="Arial" w:eastAsia="Arial" w:hAnsi="Arial"/>
          <w:sz w:val="18"/>
          <w:szCs w:val="18"/>
          <w:color w:val="auto"/>
        </w:rPr>
        <w:t xml:space="preserve">) for Robert E. Coletti; on October 31, 2025 for Joseph Scaminace (available </w:t>
      </w:r>
      <w:hyperlink r:id="rId23">
        <w:r>
          <w:rPr>
            <w:rFonts w:ascii="Arial" w:cs="Arial" w:eastAsia="Arial" w:hAnsi="Arial"/>
            <w:sz w:val="18"/>
            <w:szCs w:val="18"/>
            <w:u w:val="single" w:color="auto"/>
            <w:color w:val="467886"/>
          </w:rPr>
          <w:t>here</w:t>
        </w:r>
      </w:hyperlink>
      <w:r>
        <w:rPr>
          <w:rFonts w:ascii="Arial" w:cs="Arial" w:eastAsia="Arial" w:hAnsi="Arial"/>
          <w:sz w:val="18"/>
          <w:szCs w:val="18"/>
          <w:color w:val="auto"/>
        </w:rPr>
        <w:t xml:space="preserve">); on October 31, 2025 (available </w:t>
      </w:r>
      <w:hyperlink r:id="rId24">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December 17, 2025 (available</w:t>
      </w:r>
      <w:r>
        <w:rPr>
          <w:rFonts w:ascii="Arial" w:cs="Arial" w:eastAsia="Arial" w:hAnsi="Arial"/>
          <w:sz w:val="18"/>
          <w:szCs w:val="18"/>
          <w:color w:val="467886"/>
        </w:rPr>
        <w:t xml:space="preserve"> </w:t>
      </w:r>
      <w:hyperlink r:id="rId25">
        <w:r>
          <w:rPr>
            <w:rFonts w:ascii="Arial" w:cs="Arial" w:eastAsia="Arial" w:hAnsi="Arial"/>
            <w:sz w:val="18"/>
            <w:szCs w:val="18"/>
            <w:u w:val="single" w:color="auto"/>
            <w:color w:val="467886"/>
          </w:rPr>
          <w:t xml:space="preserve">here </w:t>
        </w:r>
      </w:hyperlink>
      <w:r>
        <w:rPr>
          <w:rFonts w:ascii="Arial" w:cs="Arial" w:eastAsia="Arial" w:hAnsi="Arial"/>
          <w:sz w:val="18"/>
          <w:szCs w:val="18"/>
          <w:color w:val="000000"/>
        </w:rPr>
        <w:t>and</w:t>
      </w:r>
      <w:r>
        <w:rPr>
          <w:rFonts w:ascii="Arial" w:cs="Arial" w:eastAsia="Arial" w:hAnsi="Arial"/>
          <w:sz w:val="18"/>
          <w:szCs w:val="18"/>
          <w:color w:val="467886"/>
        </w:rPr>
        <w:t xml:space="preserve"> </w:t>
      </w:r>
      <w:hyperlink r:id="rId26">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and January 22, 2026 (available</w:t>
      </w:r>
      <w:r>
        <w:rPr>
          <w:rFonts w:ascii="Arial" w:cs="Arial" w:eastAsia="Arial" w:hAnsi="Arial"/>
          <w:sz w:val="18"/>
          <w:szCs w:val="18"/>
          <w:color w:val="467886"/>
        </w:rPr>
        <w:t xml:space="preserve"> </w:t>
      </w:r>
      <w:hyperlink r:id="rId27">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for Karen L. Carnahan; on October 31, 2025</w:t>
      </w:r>
      <w:r>
        <w:rPr>
          <w:rFonts w:ascii="Arial" w:cs="Arial" w:eastAsia="Arial" w:hAnsi="Arial"/>
          <w:sz w:val="18"/>
          <w:szCs w:val="18"/>
          <w:color w:val="467886"/>
        </w:rPr>
        <w:t xml:space="preserve"> </w:t>
      </w:r>
      <w:r>
        <w:rPr>
          <w:rFonts w:ascii="Arial" w:cs="Arial" w:eastAsia="Arial" w:hAnsi="Arial"/>
          <w:sz w:val="18"/>
          <w:szCs w:val="18"/>
          <w:color w:val="000000"/>
        </w:rPr>
        <w:t xml:space="preserve">(available </w:t>
      </w:r>
      <w:hyperlink r:id="rId28">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17, 2025 (available </w:t>
      </w:r>
      <w:hyperlink r:id="rId29">
        <w:r>
          <w:rPr>
            <w:rFonts w:ascii="Arial" w:cs="Arial" w:eastAsia="Arial" w:hAnsi="Arial"/>
            <w:sz w:val="18"/>
            <w:szCs w:val="18"/>
            <w:u w:val="single" w:color="auto"/>
            <w:color w:val="467886"/>
          </w:rPr>
          <w:t>here</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and </w:t>
      </w:r>
      <w:hyperlink r:id="rId30">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and January 22, 2026 (available </w:t>
      </w:r>
      <w:hyperlink r:id="rId31">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for Melanie W. Barstad; on October 31, 2025 for Martin Mucci (available </w:t>
      </w:r>
      <w:hyperlink r:id="rId32">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on October 31, 2025 for Beverly K. Carmichael (available </w:t>
      </w:r>
      <w:hyperlink r:id="rId33">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on October 31, 2025 (available </w:t>
      </w:r>
      <w:hyperlink r:id="rId34">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and December 17, 2025 (available </w:t>
      </w:r>
      <w:hyperlink r:id="rId35">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w:t>
      </w:r>
      <w:hyperlink r:id="rId36">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w:t>
      </w:r>
      <w:hyperlink r:id="rId37">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w:t>
      </w:r>
      <w:hyperlink r:id="rId38">
        <w:r>
          <w:rPr>
            <w:rFonts w:ascii="Arial" w:cs="Arial" w:eastAsia="Arial" w:hAnsi="Arial"/>
            <w:sz w:val="18"/>
            <w:szCs w:val="18"/>
            <w:u w:val="single" w:color="auto"/>
            <w:color w:val="467886"/>
          </w:rPr>
          <w:t>here</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and </w:t>
      </w:r>
      <w:hyperlink r:id="rId39">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for Ronald W. Tysoe; and on December 30, 2025 (available </w:t>
      </w:r>
      <w:hyperlink r:id="rId40">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and January 30, 2026 (available </w:t>
      </w:r>
      <w:hyperlink r:id="rId41">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for Scott D. Farmer. Information about the interests of the directors and executive officers of UniFirst and other persons who may be deemed to be participants in the solicitation of proxies in connection with the Transaction and a description of their direct and indirect interests, by security holdings or otherwise, will be included in the proxy statement/prospectus related to the Transaction, which will be filed with the SEC. Information about the directors and executive officers of UniFirst and their compensation and ownership of UniFirst common stock is set forth under the headings “Executive Compensation,” “Director Compensation – Fiscal 2025” and </w:t>
      </w:r>
      <w:hyperlink r:id="rId42">
        <w:r>
          <w:rPr>
            <w:rFonts w:ascii="Arial" w:cs="Arial" w:eastAsia="Arial" w:hAnsi="Arial"/>
            <w:sz w:val="18"/>
            <w:szCs w:val="18"/>
            <w:color w:val="000000"/>
          </w:rPr>
          <w:t xml:space="preserve">“Security Ownership of Management, Directors, Director Nominees and Principal Shareholders,” respectively, in UniFirst’s </w:t>
        </w:r>
        <w:r>
          <w:rPr>
            <w:rFonts w:ascii="Arial" w:cs="Arial" w:eastAsia="Arial" w:hAnsi="Arial"/>
            <w:sz w:val="18"/>
            <w:szCs w:val="18"/>
            <w:u w:val="single" w:color="auto"/>
            <w:color w:val="0592FF"/>
          </w:rPr>
          <w:t>definitive proxy</w:t>
        </w:r>
      </w:hyperlink>
      <w:r>
        <w:rPr>
          <w:rFonts w:ascii="Arial" w:cs="Arial" w:eastAsia="Arial" w:hAnsi="Arial"/>
          <w:sz w:val="18"/>
          <w:szCs w:val="18"/>
          <w:color w:val="000000"/>
        </w:rPr>
        <w:t xml:space="preserve"> </w:t>
      </w:r>
      <w:hyperlink r:id="rId42">
        <w:r>
          <w:rPr>
            <w:rFonts w:ascii="Arial" w:cs="Arial" w:eastAsia="Arial" w:hAnsi="Arial"/>
            <w:sz w:val="18"/>
            <w:szCs w:val="18"/>
            <w:u w:val="single" w:color="auto"/>
            <w:color w:val="0592FF"/>
          </w:rPr>
          <w:t>statement</w:t>
        </w:r>
        <w:r>
          <w:rPr>
            <w:rFonts w:ascii="Arial" w:cs="Arial" w:eastAsia="Arial" w:hAnsi="Arial"/>
            <w:sz w:val="18"/>
            <w:szCs w:val="18"/>
            <w:color w:val="0592FF"/>
          </w:rPr>
          <w:t xml:space="preserve"> </w:t>
        </w:r>
        <w:r>
          <w:rPr>
            <w:rFonts w:ascii="Arial" w:cs="Arial" w:eastAsia="Arial" w:hAnsi="Arial"/>
            <w:sz w:val="18"/>
            <w:szCs w:val="18"/>
            <w:color w:val="000000"/>
          </w:rPr>
          <w:t xml:space="preserve">for its 2026 Annual Meeting of Shareholders, filed with the SEC on November 24, 2025 under the heading “Security Ownership </w:t>
        </w:r>
      </w:hyperlink>
      <w:r>
        <w:rPr>
          <w:rFonts w:ascii="Arial" w:cs="Arial" w:eastAsia="Arial" w:hAnsi="Arial"/>
          <w:sz w:val="18"/>
          <w:szCs w:val="18"/>
          <w:color w:val="0592FF"/>
        </w:rPr>
        <w:t xml:space="preserve">of </w:t>
      </w:r>
      <w:r>
        <w:rPr>
          <w:rFonts w:ascii="Arial" w:cs="Arial" w:eastAsia="Arial" w:hAnsi="Arial"/>
          <w:sz w:val="18"/>
          <w:szCs w:val="18"/>
          <w:color w:val="000000"/>
        </w:rPr>
        <w:t xml:space="preserve">Certain Beneficial Owners and management and Related Stockholder Matters” in UniFirst’s </w:t>
      </w:r>
      <w:hyperlink r:id="rId43">
        <w:r>
          <w:rPr>
            <w:rFonts w:ascii="Arial" w:cs="Arial" w:eastAsia="Arial" w:hAnsi="Arial"/>
            <w:sz w:val="18"/>
            <w:szCs w:val="18"/>
            <w:u w:val="single" w:color="auto"/>
            <w:color w:val="0592FF"/>
          </w:rPr>
          <w:t>Annual Report on Form 10-K</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for the fiscal year ended August 30, 2025, filed with the SEC on October 29, 2025; in UniFirst’s </w:t>
      </w:r>
      <w:hyperlink r:id="rId44">
        <w:r>
          <w:rPr>
            <w:rFonts w:ascii="Arial" w:cs="Arial" w:eastAsia="Arial" w:hAnsi="Arial"/>
            <w:sz w:val="18"/>
            <w:szCs w:val="18"/>
            <w:u w:val="single" w:color="auto"/>
            <w:color w:val="0592FF"/>
          </w:rPr>
          <w:t>Current Report on Form 8-K</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filed with the SEC on December 29, 2025; in the supplemental information regarding the participants’ holdings of the UniFirst’s securities can be found in SEC filings on Statements of Change in Ownership on Form 4 filed with the SEC on December 18, 2025 for Sergio A. Pupkin (available </w:t>
      </w:r>
      <w:hyperlink r:id="rId45">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Kelly C. Rooney (available </w:t>
      </w:r>
      <w:hyperlink r:id="rId45">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Steven S. Sintros (available </w:t>
      </w:r>
      <w:hyperlink r:id="rId46">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Cynthia Croatti (available </w:t>
      </w:r>
      <w:hyperlink r:id="rId47">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Matthew Croatti (available </w:t>
      </w:r>
      <w:hyperlink r:id="rId48">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for Cecilia K. McKenney (available </w:t>
      </w:r>
      <w:hyperlink r:id="rId49">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December 18, 2025 for Michael Iandoli (available</w:t>
      </w:r>
      <w:r>
        <w:rPr>
          <w:rFonts w:ascii="Arial" w:cs="Arial" w:eastAsia="Arial" w:hAnsi="Arial"/>
          <w:sz w:val="18"/>
          <w:szCs w:val="18"/>
          <w:color w:val="467886"/>
        </w:rPr>
        <w:t xml:space="preserve"> </w:t>
      </w:r>
      <w:hyperlink r:id="rId50">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December 18, 2025 for Joseph M. Nowicki (available</w:t>
      </w:r>
      <w:r>
        <w:rPr>
          <w:rFonts w:ascii="Arial" w:cs="Arial" w:eastAsia="Arial" w:hAnsi="Arial"/>
          <w:sz w:val="18"/>
          <w:szCs w:val="18"/>
          <w:color w:val="467886"/>
        </w:rPr>
        <w:t xml:space="preserve"> </w:t>
      </w:r>
      <w:hyperlink r:id="rId51">
        <w:r>
          <w:rPr>
            <w:rFonts w:ascii="Arial" w:cs="Arial" w:eastAsia="Arial" w:hAnsi="Arial"/>
            <w:sz w:val="18"/>
            <w:szCs w:val="18"/>
            <w:u w:val="single" w:color="auto"/>
            <w:color w:val="467886"/>
          </w:rPr>
          <w:t>here</w:t>
        </w:r>
      </w:hyperlink>
      <w:r>
        <w:rPr>
          <w:rFonts w:ascii="Arial" w:cs="Arial" w:eastAsia="Arial" w:hAnsi="Arial"/>
          <w:sz w:val="18"/>
          <w:szCs w:val="18"/>
          <w:color w:val="000000"/>
        </w:rPr>
        <w:t>);</w:t>
      </w:r>
      <w:r>
        <w:rPr>
          <w:rFonts w:ascii="Arial" w:cs="Arial" w:eastAsia="Arial" w:hAnsi="Arial"/>
          <w:sz w:val="18"/>
          <w:szCs w:val="18"/>
          <w:color w:val="467886"/>
        </w:rPr>
        <w:t xml:space="preserve"> </w:t>
      </w:r>
      <w:r>
        <w:rPr>
          <w:rFonts w:ascii="Arial" w:cs="Arial" w:eastAsia="Arial" w:hAnsi="Arial"/>
          <w:sz w:val="18"/>
          <w:szCs w:val="18"/>
          <w:color w:val="000000"/>
        </w:rPr>
        <w:t>December 18,</w:t>
      </w:r>
      <w:r>
        <w:rPr>
          <w:rFonts w:ascii="Arial" w:cs="Arial" w:eastAsia="Arial" w:hAnsi="Arial"/>
          <w:sz w:val="18"/>
          <w:szCs w:val="18"/>
          <w:color w:val="467886"/>
        </w:rPr>
        <w:t xml:space="preserve"> </w:t>
      </w:r>
      <w:r>
        <w:rPr>
          <w:rFonts w:ascii="Arial" w:cs="Arial" w:eastAsia="Arial" w:hAnsi="Arial"/>
          <w:sz w:val="18"/>
          <w:szCs w:val="18"/>
          <w:color w:val="000000"/>
        </w:rPr>
        <w:t xml:space="preserve">2025 and February 18, 2026 for David Martin Katz (available </w:t>
      </w:r>
      <w:hyperlink r:id="rId52">
        <w:r>
          <w:rPr>
            <w:rFonts w:ascii="Arial" w:cs="Arial" w:eastAsia="Arial" w:hAnsi="Arial"/>
            <w:sz w:val="18"/>
            <w:szCs w:val="18"/>
            <w:u w:val="single" w:color="auto"/>
            <w:color w:val="467886"/>
          </w:rPr>
          <w:t>here</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and </w:t>
      </w:r>
      <w:hyperlink r:id="rId53">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respectively); December 18, 2025 for Shane O’Connor (available </w:t>
      </w:r>
      <w:hyperlink r:id="rId54">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December 18, 2025 and February 10, 2026 for William Masters Ross (available </w:t>
      </w:r>
      <w:hyperlink r:id="rId55">
        <w:r>
          <w:rPr>
            <w:rFonts w:ascii="Arial" w:cs="Arial" w:eastAsia="Arial" w:hAnsi="Arial"/>
            <w:sz w:val="18"/>
            <w:szCs w:val="18"/>
            <w:u w:val="single" w:color="auto"/>
            <w:color w:val="467886"/>
          </w:rPr>
          <w:t>here</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and </w:t>
      </w:r>
      <w:hyperlink r:id="rId56">
        <w:r>
          <w:rPr>
            <w:rFonts w:ascii="Arial" w:cs="Arial" w:eastAsia="Arial" w:hAnsi="Arial"/>
            <w:sz w:val="18"/>
            <w:szCs w:val="18"/>
            <w:u w:val="single" w:color="auto"/>
            <w:color w:val="467886"/>
          </w:rPr>
          <w:t>here</w:t>
        </w:r>
      </w:hyperlink>
      <w:r>
        <w:rPr>
          <w:rFonts w:ascii="Arial" w:cs="Arial" w:eastAsia="Arial" w:hAnsi="Arial"/>
          <w:sz w:val="18"/>
          <w:szCs w:val="18"/>
          <w:color w:val="000000"/>
        </w:rPr>
        <w:t xml:space="preserve">, respectively); January 7, 2026 for David A. DiFillippo (available </w:t>
      </w:r>
      <w:hyperlink r:id="rId57">
        <w:r>
          <w:rPr>
            <w:rFonts w:ascii="Arial" w:cs="Arial" w:eastAsia="Arial" w:hAnsi="Arial"/>
            <w:sz w:val="18"/>
            <w:szCs w:val="18"/>
            <w:u w:val="single" w:color="auto"/>
            <w:color w:val="467886"/>
          </w:rPr>
          <w:t>here</w:t>
        </w:r>
      </w:hyperlink>
      <w:r>
        <w:rPr>
          <w:rFonts w:ascii="Arial" w:cs="Arial" w:eastAsia="Arial" w:hAnsi="Arial"/>
          <w:sz w:val="18"/>
          <w:szCs w:val="18"/>
          <w:color w:val="000000"/>
        </w:rPr>
        <w:t>); and in other documents filed by UniFirst with the SEC. Free copies of the documents referenced in this paragraph may be obtained as described above under the heading “Important Information and Where to Find It.”</w:t>
      </w:r>
    </w:p>
    <w:p>
      <w:pPr>
        <w:spacing w:after="0" w:line="20" w:lineRule="exact"/>
        <w:rPr>
          <w:rFonts w:ascii="Arial" w:cs="Arial" w:eastAsia="Arial" w:hAnsi="Arial"/>
          <w:sz w:val="18"/>
          <w:szCs w:val="18"/>
          <w:color w:val="000000"/>
        </w:rPr>
      </w:pPr>
      <w:r>
        <w:rPr>
          <w:rFonts w:ascii="Arial" w:cs="Arial" w:eastAsia="Arial" w:hAnsi="Arial"/>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3" Type="http://schemas.openxmlformats.org/officeDocument/2006/relationships/image" Target="media/image4.png"/><Relationship Id="rId58" Type="http://schemas.openxmlformats.org/officeDocument/2006/relationships/image" Target="media/image5.png"/><Relationship Id="rId10" Type="http://schemas.openxmlformats.org/officeDocument/2006/relationships/hyperlink" Target="https://www.sec.gov/ix?doc=/Archives/edgar/data/0000723254/000072325425000017/ctas-20250531.htm" TargetMode="External"/><Relationship Id="rId12" Type="http://schemas.openxmlformats.org/officeDocument/2006/relationships/hyperlink" Target="https://www.sec.gov/ix?doc=/Archives/edgar/data/0000717954/000119312525256222/unf-20250830.htm" TargetMode="External"/><Relationship Id="rId14" Type="http://schemas.openxmlformats.org/officeDocument/2006/relationships/hyperlink" Target="https://www.sec.gov/ix?doc=/Archives/edgar/data/0000723254/000072325425000025/ctas-20250915.htm" TargetMode="External"/><Relationship Id="rId15" Type="http://schemas.openxmlformats.org/officeDocument/2006/relationships/hyperlink" Target="https://www.sec.gov/ix?doc=/Archives/edgar/data/0000723254/000072325425000017/ctas-20250531.htm#ice9aea6cc7c744af9eae65d2bad11d8d_172" TargetMode="External"/><Relationship Id="rId16" Type="http://schemas.openxmlformats.org/officeDocument/2006/relationships/hyperlink" Target="https://www.sec.gov/Archives/edgar/data/723254/000089225125000207/xslF345X05/form4.xml" TargetMode="External"/><Relationship Id="rId17" Type="http://schemas.openxmlformats.org/officeDocument/2006/relationships/hyperlink" Target="https://www.sec.gov/Archives/edgar/data/723254/000095010325016270/xslF345X05/dp238878_4-coletti1.xml" TargetMode="External"/><Relationship Id="rId18" Type="http://schemas.openxmlformats.org/officeDocument/2006/relationships/hyperlink" Target="https://www.sec.gov/Archives/edgar/data/723254/000095010325016271/xslF345X05/dp238879_4-coletti2.xml" TargetMode="External"/><Relationship Id="rId19" Type="http://schemas.openxmlformats.org/officeDocument/2006/relationships/hyperlink" Target="https://www.sec.gov/Archives/edgar/data/723254/000095010325016273/xslF345X05/dp238880_4-coletti3.xml" TargetMode="External"/><Relationship Id="rId20" Type="http://schemas.openxmlformats.org/officeDocument/2006/relationships/hyperlink" Target="https://www.sec.gov/Archives/edgar/data/723254/000089225125000229/xslF345X05/form4.xml" TargetMode="External"/><Relationship Id="rId21" Type="http://schemas.openxmlformats.org/officeDocument/2006/relationships/hyperlink" Target="https://www.sec.gov/Archives/edgar/data/723254/000095010326000864/xslF345X05/dp240324_coletti.xml" TargetMode="External"/><Relationship Id="rId22" Type="http://schemas.openxmlformats.org/officeDocument/2006/relationships/hyperlink" Target="https://www.sec.gov/Archives/edgar/data/723254/000089225126000035/xslF345X05/form4.xml" TargetMode="External"/><Relationship Id="rId23" Type="http://schemas.openxmlformats.org/officeDocument/2006/relationships/hyperlink" Target="https://www.sec.gov/Archives/edgar/data/723254/000089225125000208/xslF345X05/form4.xml" TargetMode="External"/><Relationship Id="rId24" Type="http://schemas.openxmlformats.org/officeDocument/2006/relationships/hyperlink" Target="https://www.sec.gov/Archives/edgar/data/723254/000089225125000206/xslF345X05/form4.xml" TargetMode="External"/><Relationship Id="rId25" Type="http://schemas.openxmlformats.org/officeDocument/2006/relationships/hyperlink" Target="https://www.sec.gov/Archives/edgar/data/723254/000095010325016267/xslF345X05/dp238876_4-carnahan1.xml" TargetMode="External"/><Relationship Id="rId26" Type="http://schemas.openxmlformats.org/officeDocument/2006/relationships/hyperlink" Target="https://www.sec.gov/Archives/edgar/data/723254/000095010325016268/xslF345X05/dp238877_4-carnahan2.xml" TargetMode="External"/><Relationship Id="rId27" Type="http://schemas.openxmlformats.org/officeDocument/2006/relationships/hyperlink" Target="https://www.sec.gov/Archives/edgar/data/723254/000095010326000866/xslF345X05/dp240326_carnahan.xml" TargetMode="External"/><Relationship Id="rId28" Type="http://schemas.openxmlformats.org/officeDocument/2006/relationships/hyperlink" Target="https://www.sec.gov/Archives/edgar/data/723254/000089225125000204/xslF345X05/form4.xml" TargetMode="External"/><Relationship Id="rId29" Type="http://schemas.openxmlformats.org/officeDocument/2006/relationships/hyperlink" Target="https://www.sec.gov/Archives/edgar/data/723254/000095010325016264/xslF345X05/dp238874_4-barstad1.xml" TargetMode="External"/><Relationship Id="rId30" Type="http://schemas.openxmlformats.org/officeDocument/2006/relationships/hyperlink" Target="https://www.sec.gov/Archives/edgar/data/723254/000095010325016266/xslF345X05/dp238875_4-barstad2.xml" TargetMode="External"/><Relationship Id="rId31" Type="http://schemas.openxmlformats.org/officeDocument/2006/relationships/hyperlink" Target="https://www.sec.gov/Archives/edgar/data/723254/000095010326000865/xslF345X05/dp240325_barstad.xml" TargetMode="External"/><Relationship Id="rId32" Type="http://schemas.openxmlformats.org/officeDocument/2006/relationships/hyperlink" Target="https://www.sec.gov/Archives/edgar/data/723254/000089225125000209/xslF345X05/form4.xml" TargetMode="External"/><Relationship Id="rId33" Type="http://schemas.openxmlformats.org/officeDocument/2006/relationships/hyperlink" Target="https://www.sec.gov/Archives/edgar/data/723254/000089225125000205/xslF345X05/form4.xml" TargetMode="External"/><Relationship Id="rId34" Type="http://schemas.openxmlformats.org/officeDocument/2006/relationships/hyperlink" Target="https://www.sec.gov/Archives/edgar/data/723254/000089225125000210/xslF345X05/form4.xml" TargetMode="External"/><Relationship Id="rId35" Type="http://schemas.openxmlformats.org/officeDocument/2006/relationships/hyperlink" Target="https://www.sec.gov/Archives/edgar/data/723254/000095010325016274/xslF345X05/dp238881_4-tysoe1.xml" TargetMode="External"/><Relationship Id="rId36" Type="http://schemas.openxmlformats.org/officeDocument/2006/relationships/hyperlink" Target="https://www.sec.gov/Archives/edgar/data/723254/000095010325016275/xslF345X05/dp238882_4-tysoe2.xml" TargetMode="External"/><Relationship Id="rId37" Type="http://schemas.openxmlformats.org/officeDocument/2006/relationships/hyperlink" Target="https://www.sec.gov/Archives/edgar/data/723254/000095010325016276/xslF345X05/dp238883_4-tysoe3.xml" TargetMode="External"/><Relationship Id="rId38" Type="http://schemas.openxmlformats.org/officeDocument/2006/relationships/hyperlink" Target="https://www.sec.gov/Archives/edgar/data/723254/000095010325016278/xslF345X05/dp238884_4-tysoe4.xml" TargetMode="External"/><Relationship Id="rId39" Type="http://schemas.openxmlformats.org/officeDocument/2006/relationships/hyperlink" Target="https://www.sec.gov/Archives/edgar/data/723254/000095010325016279/xslF345X05/dp238885_4-tysoe5.xml" TargetMode="External"/><Relationship Id="rId40" Type="http://schemas.openxmlformats.org/officeDocument/2006/relationships/hyperlink" Target="https://www.sec.gov/Archives/edgar/data/723254/000089225125000228/xslF345X05/form4.xml" TargetMode="External"/><Relationship Id="rId41" Type="http://schemas.openxmlformats.org/officeDocument/2006/relationships/hyperlink" Target="https://www.sec.gov/Archives/edgar/data/723254/000089225126000034/xslF345X05/form4.xml" TargetMode="External"/><Relationship Id="rId42" Type="http://schemas.openxmlformats.org/officeDocument/2006/relationships/hyperlink" Target="https://www.sec.gov/ix?doc=/Archives/edgar/data/0000717954/000119312525293727/unf-20251124.htm" TargetMode="External"/><Relationship Id="rId43" Type="http://schemas.openxmlformats.org/officeDocument/2006/relationships/hyperlink" Target="https://www.sec.gov/ix?doc=/Archives/edgar/data/0000717954/000119312525256222/unf-20250830.htm#item_12_security_ownership_certain_benef" TargetMode="External"/><Relationship Id="rId44" Type="http://schemas.openxmlformats.org/officeDocument/2006/relationships/hyperlink" Target="https://www.sec.gov/ix?doc=/Archives/edgar/data/0000717954/000119312525335335/unf-20251223.htm" TargetMode="External"/><Relationship Id="rId45" Type="http://schemas.openxmlformats.org/officeDocument/2006/relationships/hyperlink" Target="http://www.sec.gov/Archives/edgar/data/ownership.html/000119312525325400/0001193125-25-325400-index.html" TargetMode="External"/><Relationship Id="rId46" Type="http://schemas.openxmlformats.org/officeDocument/2006/relationships/hyperlink" Target="http://www.sec.gov/Archives/edgar/data/ownership.html/000119312525325398/0001193125-25-325398-index.html" TargetMode="External"/><Relationship Id="rId47" Type="http://schemas.openxmlformats.org/officeDocument/2006/relationships/hyperlink" Target="http://www.sec.gov/Archives/edgar/data/ownership.html/000119312525325396/0001193125-25-325396-index.html" TargetMode="External"/><Relationship Id="rId48" Type="http://schemas.openxmlformats.org/officeDocument/2006/relationships/hyperlink" Target="http://www.sec.gov/Archives/edgar/data/ownership.html/000119312525325394/0001193125-25-325394-index.html" TargetMode="External"/><Relationship Id="rId49" Type="http://schemas.openxmlformats.org/officeDocument/2006/relationships/hyperlink" Target="http://www.sec.gov/Archives/edgar/data/ownership.html/000119312525325392/0001193125-25-325392-index.html" TargetMode="External"/><Relationship Id="rId50" Type="http://schemas.openxmlformats.org/officeDocument/2006/relationships/hyperlink" Target="http://www.sec.gov/Archives/edgar/data/ownership.html/000119312525325391/0001193125-25-325391-index.html" TargetMode="External"/><Relationship Id="rId51" Type="http://schemas.openxmlformats.org/officeDocument/2006/relationships/hyperlink" Target="http://www.sec.gov/Archives/edgar/data/ownership.html/000119312525325390/0001193125-25-325390-index.html" TargetMode="External"/><Relationship Id="rId52" Type="http://schemas.openxmlformats.org/officeDocument/2006/relationships/hyperlink" Target="http://www.sec.gov/Archives/edgar/data/ownership.html/000119312525325389/0001193125-25-325389-index.html" TargetMode="External"/><Relationship Id="rId53" Type="http://schemas.openxmlformats.org/officeDocument/2006/relationships/hyperlink" Target="http://www.sec.gov/Archives/edgar/data/ownership.html/000119312526056419/0001193125-26-056419-index.html" TargetMode="External"/><Relationship Id="rId54" Type="http://schemas.openxmlformats.org/officeDocument/2006/relationships/hyperlink" Target="http://www.sec.gov/Archives/edgar/data/ownership.html/000119312525325387/0001193125-25-325387-index.html" TargetMode="External"/><Relationship Id="rId55" Type="http://schemas.openxmlformats.org/officeDocument/2006/relationships/hyperlink" Target="http://www.sec.gov/Archives/edgar/data/ownership.html/000119312525325386/0001193125-25-325386-index.html" TargetMode="External"/><Relationship Id="rId56" Type="http://schemas.openxmlformats.org/officeDocument/2006/relationships/hyperlink" Target="http://www.sec.gov/Archives/edgar/data/ownership.html/000119312526044463/0001193125-26-044463-index.html" TargetMode="External"/><Relationship Id="rId57" Type="http://schemas.openxmlformats.org/officeDocument/2006/relationships/hyperlink" Target="http://www.sec.gov/Archives/edgar/data/ownership.html/000119312526006372/0001193125-26-006372-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2026-05-26T16:47:23Z</dcterms:created>
  <dcterms:modified xsi:type="dcterms:W3CDTF">2026-05-26T16:47:23Z</dcterms:modified>
</cp:coreProperties>
</file>