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UniFirst Corporation</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Deemed filed pursuant to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UniFirst Corporation</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001-08504)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March 11, 2026</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Team Partners,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reaching out on behalf of the Croatti family regarding today’s announcement and UniFirst’s next chapter.</w:t>
      </w:r>
    </w:p>
    <w:p>
      <w:pPr>
        <w:spacing w:after="0" w:line="225"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First, we want to express how proud we are of UniFirst and you, our dedicated Team Partners. Since UniFirst was founded in 1936 out of a horse barn in Dorchester, Massachusetts, we have always stood for more than the products and services we provide. What continues to distinguish UniFirst is our strong family culture and Core Values, developed by our founder Aldo Croatti all those years ago: to consistently conduct business with a Customer Focus, Respect for Others, and Commitment to Quality. Ron Croatti passionately ensured that these values remained central to everything UniFirst did, even as he took the business to new heights. While our ownership will evolve as we join forces with Cintas, this legacy and set of values will endure as we strive to “Always Deliver” for the people who do the hard work.</w:t>
      </w:r>
    </w:p>
    <w:p>
      <w:pPr>
        <w:spacing w:after="0" w:line="187"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Given our 90-year history as a family business, the decision to combine with Cintas was made with great care and consideration. We appreciate it will be surprising news for many of you. However, in coming to this decision, we as a family reflected deeply on UniFirst’s rich history as an industry pioneer and the potential to unlock additional opportunities for growth, innovation, and long-term value creation for our stakeholders, including our customers and Team Partners. After a thoughtful and thorough evaluation, we believe this union with Cintas is the right path forward.</w:t>
      </w:r>
    </w:p>
    <w:p>
      <w:pPr>
        <w:spacing w:after="0" w:line="180" w:lineRule="exact"/>
        <w:rPr>
          <w:sz w:val="24"/>
          <w:szCs w:val="24"/>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Like UniFirst, Cintas is a family-founded company, chaired by the founder’s son, Scott Farmer. In them, we see a partner that both respects the strong business we have built and fundamentally shares our values. This drives our conviction that they will support UniFirst’s next stage of growth while honoring the culture and customer-first philosophy that define us. Underscoring our confidence in the long-term success of this transaction, we as a family will retain a meaningful ownership position in the combined company.</w:t>
      </w:r>
    </w:p>
    <w:p>
      <w:pPr>
        <w:spacing w:after="0" w:line="180"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Most importantly, we expect this combination to provide significant benefits for our Team Partners as part of a larger and more diversified organization, with additional opportunities for career growth, development, and highly competitive compensation and benefits.</w:t>
      </w:r>
    </w:p>
    <w:p>
      <w:pPr>
        <w:spacing w:after="0" w:line="162"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is still work to be done to bring UniFirst and Cintas together. Until then, we remain separate, independent companies, and we are operating as usual. We are fiercely committed to you and UniFirst. Team Partners are the heart of everything that we do at UniFirst, and our family is thankful for the professionalism, care, and dedication you bring to your work each day to “Always Deliver” for our customers and each other. We are deeply grateful for all that you give to UniFirst, and it is because of you that our family feels confident in the path ahead.</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All our best,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382333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333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Cindy, Carol, and Matt Croatti</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21E of the Securities Exchange Act of 1934, as amended, and Section 27A of the Securities Act of 1933, as amended (the “</w:t>
      </w:r>
      <w:r>
        <w:rPr>
          <w:rFonts w:ascii="Times New Roman" w:cs="Times New Roman" w:eastAsia="Times New Roman" w:hAnsi="Times New Roman"/>
          <w:sz w:val="18"/>
          <w:szCs w:val="18"/>
          <w:u w:val="single" w:color="auto"/>
          <w:color w:val="auto"/>
        </w:rPr>
        <w:t>Securities Act of 1933</w:t>
      </w:r>
      <w:r>
        <w:rPr>
          <w:rFonts w:ascii="Times New Roman" w:cs="Times New Roman" w:eastAsia="Times New Roman" w:hAnsi="Times New Roman"/>
          <w:sz w:val="18"/>
          <w:szCs w:val="18"/>
          <w:color w:val="auto"/>
        </w:rPr>
        <w:t>”), which involve risks and uncertainties. Any statements about Cintas’, UniFirst’s or the combined company’s plans, objectives, expectations, strategies , beliefs, or future performance or events and any other statements to the extent they are not statements of historical fact are forward-looking statements. Words, phrases or expressions such as “estimates,” “confident,” “continue,” “hope,” “likely,” “might,” “possible,” “potential,” “trend,” “anticipates,” “predicts,” “projects,” “plans,” “expects,” “intends,” “targets,” “forecasts,” “believes,” “seeks,” “could,” “should,” “may,” ‘’will,” “strategy,” “objective,” and similar words, phrases or expressions or the negative versions thereof are intended to identify forward-looking statements but are not the exclusive means of identifying such statements. Forward-looking statements are based on information available and assumptions made at the time the statements are made. Forward-looking statements involve risks and uncertainties that could cause actual results to differ materially from those expressed in or implied by the forward-looking statements. Forward-looking statements in this communication include, but are not limited to, statements about the benefits of the transaction between Cintas and UniFirst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including future financial and operating results, the combined company’s plans, objectives, expectations and intentions, and other statements that are not historical facts.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UniFirst; the outcome of any legal proceedings that may be instituted against Cintas or UniFirst;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UniFirst operate; any failure to promptly and effectively integrate the businesses of Cintas and UniFirst; the possibility that the Transaction may be more expensive to complete than anticipated, including as a result of unexpected factors or events; reputational risk and potential adverse reactions of Cintas’ or UniFirst’s customers, employees or other business partners, including those resulting from the announcement, pendency or completion of the Transaction; the dilution caused by Cintas’ issuance of additional shares of its capital stock in connection with the Transaction; changes in the trading price of Cintas’ or UniFirst’s capital stock; and the diversion of management’s attention and time to the Transaction from ongoing business operations and opportunities.</w:t>
      </w:r>
    </w:p>
    <w:p>
      <w:pPr>
        <w:spacing w:after="0" w:line="197" w:lineRule="exact"/>
        <w:rPr>
          <w:sz w:val="20"/>
          <w:szCs w:val="20"/>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important factors relating to Cintas that could cause actual results to differ from those in forward-looking statements include, but are not limited to, the possibility of greater than anticipated operating costs including energy and fuel costs; lower sales volumes; loss of customers due to outsourcing trends; the performance and costs of integration of acquisitions; supply chain constraints and macroeconomic conditions, including inflationary pressures and higher interest rates; changes in global trade policies, tariffs, and other measures that could restrict international trade; fluctuations in costs of materials and labor, including increased medical costs; costs and possible effects of union organizing activities; failure to comply with government regulations concerning employment discrimination, employee pay and benefits and employee health and safety; the effect on operations of exchange rate fluctuations, and other political, economic and regulatory risks; uncertainties regarding any existing or newly-discovered expenses and liabilities related to environmental compliance and remediation; Cintas’ ability to meet its aspirations relating to sustainability opportunities, improvements and efficiencies; the cost, results and ongoing assessment of internal controls over financial reporting; the effect of new accounting pronouncements; risks associated with cybersecurity threats, including disruptions caused by the inaccessibility of computer systems data and cybersecurity risk management; the initiation or outcome of litigation, investigations or other proceedings; higher assumed sourcing or distribution costs of products; the disruption of operations from catastrophic or extraordinary events including global health pandemics; the amount and timing of repurchases of Cintas’ common stock, if any; changes in global tax and labor laws; the reactions of competitors in terms of price and service; and the other risks and contingencies detailed in Cintas’ most recent </w:t>
      </w:r>
      <w:hyperlink r:id="rId10">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its other filings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 important factors relating to UniFirst that could cause actual results to differ materially from those in forward-looking statements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 between Russia and Ukraine and disruption in the Middle East, and their impact on UniFirst’s customers’ businesses and workforce levels; disruptions of UniFirst’s business and operations, including limitations on, or c losures of, UniFirst’s facilities, or the business and operations of UniFirst’s customers or suppliers in connection with extraordinary events or circumstances; uncertainties regarding UniFirst’s ability to consummate acquisitions and successfully integrate acquired busi nesses, and the performance of such businesses; uncertainties regarding any existing or newly-discovered expenses and liabilities related to environmental compliance and remediation; any adverse outcome of pending or future contingencies or claims; UniFirst’s abilit y to compete successfully without any significant degradation in UniFirst’s margin rates, seasonal and quarterly fluctuations in business levels; UniFirst’s ability to preserve positive labor relationships and avoid becoming the target of corporate labor unioniza tion campaigns that could disrupt UniFirst’s business; the effect of currency fluctuations on UniFirst’s results of operations and financial</w:t>
      </w:r>
    </w:p>
    <w:p>
      <w:pPr>
        <w:sectPr>
          <w:pgSz w:w="11900" w:h="16838" w:orient="portrait"/>
          <w:cols w:equalWidth="0" w:num="1">
            <w:col w:w="11000"/>
          </w:cols>
          <w:pgMar w:left="440" w:top="266" w:right="459" w:bottom="1440" w:gutter="0" w:footer="0" w:header="0"/>
        </w:sectPr>
      </w:pPr>
    </w:p>
    <w:bookmarkStart w:id="2" w:name="page3"/>
    <w:bookmarkEnd w:id="2"/>
    <w:p>
      <w:pPr>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condition; UniFirst’s dependence on third parties to supply UniFirst with raw materials, which such supply could be severely disrupted as a result of extraordinary events or circumstances such as the conflict between Russia and Ukraine;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UniFirst’s business from sharply depressed oil and natural gas prices; the continuing increase in domestic healthcare costs, increased workers’ compensation claim costs, increased healthcare claim costs; UniFirst’s ability to retain and grow its customer base, demand and prices for UniFirst’s products and services; fluctuations in UniFirst’s nuclear business; political or other instability; supply chain disruption or infection among UniFirst’s employees in Mexico and Nicaragua where UniFirst’s principal garment manufacturing plants are located; UniFirst’s ability to properly and efficiently design, construct, implement and operate a new enterprise resource planning computer system; interruptions or failures of UniFirst’s information technology systems, including as a result of cyber-attacks; additional professional and internal costs necessary for compliance with any changes in or additional SEC, NYSE and accounting or other rules; strikes and unemployment levels; UniFirst’s efforts to evaluate and paten tially reduce internal costs; the impact of U.S. and foreign trade policies and tariffs or other impositions on imported goods on UniFirst’s business, results of operations and financial condition; UniFirst’s ability to successfully implement its business strategies and processes, including UniFirst’s capital allocation strategies; UniFirst’s ability to successfully remediate the material weakness in internal control over financial reporting disclosed in UniFirst’s </w:t>
      </w:r>
      <w:hyperlink r:id="rId12">
        <w:r>
          <w:rPr>
            <w:rFonts w:ascii="Times New Roman" w:cs="Times New Roman" w:eastAsia="Times New Roman" w:hAnsi="Times New Roman"/>
            <w:sz w:val="17"/>
            <w:szCs w:val="17"/>
            <w:u w:val="single" w:color="auto"/>
            <w:color w:val="0000EE"/>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fiscal year ended August 30, 2025, filed with the SEC on October 29, 2025, in an appropriate and timely matter or at all; and the other risks and contingencies detailed in UniFirst’s most recent </w:t>
      </w:r>
      <w:hyperlink r:id="rId12">
        <w:r>
          <w:rPr>
            <w:rFonts w:ascii="Times New Roman" w:cs="Times New Roman" w:eastAsia="Times New Roman" w:hAnsi="Times New Roman"/>
            <w:sz w:val="17"/>
            <w:szCs w:val="17"/>
            <w:u w:val="single" w:color="auto"/>
            <w:color w:val="0000EE"/>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and its other filings with the SEC.</w:t>
      </w:r>
    </w:p>
    <w:p>
      <w:pPr>
        <w:spacing w:after="0" w:line="1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These factors are not necessarily all of the factors that could cause Cintas’, UniFirst’s or the combined company’s actual results, performance, or achievements to differ materially from those expressed in or implied by any forward-looking statements. Other unknown or unpredictable factors also could harm Cintas’, UniFirst’s or the combined company’s results.</w:t>
      </w:r>
    </w:p>
    <w:p>
      <w:pPr>
        <w:spacing w:after="0" w:line="176" w:lineRule="exact"/>
        <w:rPr>
          <w:sz w:val="20"/>
          <w:szCs w:val="20"/>
          <w:color w:val="auto"/>
        </w:rPr>
      </w:pPr>
    </w:p>
    <w:p>
      <w:pPr>
        <w:ind w:right="14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forward-looking statements attributable to Cintas, UniFirst, or the combined company, or persons acting on Cintas’ or UniFirst’s behalf, are expressly qualified in their entirety by the cautionary statements set forth above. Forward-looking statements speak only as of the date they are made, and Cintas and UniFirst do not undertake or assume any obligation to update publicly any of these statements to reflect actual results, new information or future events, changes in assumptions, or changes in other factors affecting forward-looking statements, except to the extent required by applicable law. If Cintas or UniFirst updates one or more forward-looking statements, no inference should be drawn that Cintas or UniFirst will make additional updates with respect to those or other forward-looking statements. Further information regarding Cintas, UniFirst and factors that could affect the forward-looking statements contained herein can be found in Cintas’ Annual Report on Form 10 -K, its Quarterly Reports on Form 10-Q, and its other filings with the SEC, and in UniFirst’s </w:t>
      </w:r>
      <w:hyperlink r:id="rId12">
        <w:r>
          <w:rPr>
            <w:rFonts w:ascii="Times New Roman" w:cs="Times New Roman" w:eastAsia="Times New Roman" w:hAnsi="Times New Roman"/>
            <w:sz w:val="17"/>
            <w:szCs w:val="17"/>
            <w:u w:val="single" w:color="auto"/>
            <w:color w:val="0000EE"/>
          </w:rPr>
          <w:t>Annual Report on Form 10-K</w:t>
        </w:r>
      </w:hyperlink>
      <w:r>
        <w:rPr>
          <w:rFonts w:ascii="Times New Roman" w:cs="Times New Roman" w:eastAsia="Times New Roman" w:hAnsi="Times New Roman"/>
          <w:sz w:val="17"/>
          <w:szCs w:val="17"/>
          <w:color w:val="auto"/>
        </w:rPr>
        <w:t>, its Quarterly Reports on Form 10-Q, and its other filings with the SEC.</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is not an offer to sell or the solicitation of an offer to buy any securities, nor shall there be any sale of securities in any jurisdiction in which such offer, solicitation or sale would be unlawful prior to registration or qualification under the securities laws of such jurisdiction. No offer of securities shall be made except by means of a prospectus meeting the requirements of Section 10 of the Securities Act of 1933.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Cintas will file relevant materials with the SEC, including a Registration Statement on Form S-4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to register the shares of Cintas common stock to be issued in connection with the Transaction. The Registration Statement will include a proxy statement of UniFirst that also constitutes a prospectus of Cintas. The definitive proxy statement/prospectus will be sent to the shareholders of UniFirst.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INVESTORS AND SECURITY HOLDERS ARE URGED TO READ THE REGISTRATION STATEMENT ON FORM S-4 AND THE PROXY STATEMENT/PROSPECTUS WHEN THEY BECOME AVAILABLE, AS WELL AS ANY OTHER RELEVANT DOCUMENTS FILED WITH THE SEC IN CONNECTION WITH THE TRANSACTION OR INCORPORATED BY REFERENCE INTO THE PROXY STATEMENT/PROSPECTUS, BECAUSE THEY CONTAIN OR WILL CONTAIN IMPORTANT INFORMATION REGARDING CINTAS, UNIFIRST, THE TRANSACTION AND RELATED MATTERS.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Investors and security holders may obtain free copies of these documents and other documents filed with the SEC by Cintas or UniFirst through the website maintained by the SEC at http://www.sec.gov or from Cintas at its website, https://www.cintas.com, or from UniFirst at its website, https://www.unifirst.com (information included on or accessible through either of Cintas’ or UniFirst’s website is not incorporated by reference into this communication).</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51"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Cintas, UniFirst, their respective directors and certain of their respective executive officers may be deemed to be participants in the solicitation of proxies in connection with the Transaction under the rules of the SEC. Information about the directors and executive officers of Cintas and their compensation and ownership of Cintas common stock is set forth under the headings “Election of Directors”, “Board’s Roles and Responsibilities”, “Board Committees and Meetings”, “Nonemployee Director Compensation”, “Director Compensation Table”, “Compensation Committee Report”, “Executive Compensation”, “Compensation Discussion and Analysis”, “Summary Compensation Table”, “Grants of Plan -Based Awards Table”, “Outstanding Equity Awards Table”, “Option Exercises and Stock Vested Table”, “Nonqualified Deferred Compensation”, “Potential Payments upon Termination, Retirement or Change in Control”, “CEO Pay Ratio”, “Pay Versus Performance”, “Approval, on an Advisory Basis, of Named Executive Officer Compensation”, “Principal Shareholders”, “Security Ownership of Director Nominees and Named Executive Officers” and “Related Party Transactions,” respectively, in the </w:t>
      </w:r>
      <w:hyperlink r:id="rId14">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Cintas’ 2025 Annual Meeting of Shareholders, filed with the SEC on September 16, 2025; under </w:t>
      </w:r>
      <w:hyperlink r:id="rId15">
        <w:r>
          <w:rPr>
            <w:rFonts w:ascii="Times New Roman" w:cs="Times New Roman" w:eastAsia="Times New Roman" w:hAnsi="Times New Roman"/>
            <w:sz w:val="18"/>
            <w:szCs w:val="18"/>
            <w:color w:val="auto"/>
          </w:rPr>
          <w:t xml:space="preserve">the heading “Security Ownership of Certain Beneficial Owners and Management and Related Stockholder Matters” in Cintas’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fiscal year ended May 31, 2025, filed with the SEC on July 28, 2025; in the supplemental information regarding the participants’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holdings of the Cintas’ securities can be found in SEC filings on Statements of Change in Ownership on Form 4 filed with the SEC on October 31 , 2025 (available </w:t>
      </w:r>
      <w:hyperlink r:id="rId16">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17, 2025 (available </w:t>
      </w:r>
      <w:hyperlink r:id="rId17">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w:t>
      </w:r>
      <w:hyperlink r:id="rId18">
        <w:r>
          <w:rPr>
            <w:rFonts w:ascii="Times New Roman" w:cs="Times New Roman" w:eastAsia="Times New Roman" w:hAnsi="Times New Roman"/>
            <w:sz w:val="18"/>
            <w:szCs w:val="18"/>
            <w:u w:val="single" w:color="auto"/>
            <w:color w:val="0000EE"/>
          </w:rPr>
          <w:t>here</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19">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30, 2025 (available </w:t>
      </w:r>
      <w:hyperlink r:id="rId20">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January 22, 2026 (available </w:t>
      </w:r>
      <w:hyperlink r:id="rId21">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and January 30, 2026 (available </w:t>
      </w:r>
      <w:hyperlink r:id="rId22">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for Robert E. Coletti; on October 31 , 2025 for Joseph Scaminace (available </w:t>
      </w:r>
      <w:hyperlink r:id="rId23">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on October 31, 2025 (available </w:t>
      </w:r>
      <w:hyperlink r:id="rId24">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December 17, 2025 (available</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 xml:space="preserve">here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January 22, 2026 (available</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Karen L. Carnahan; on October 31, 2025 (available</w:t>
      </w:r>
      <w:r>
        <w:rPr>
          <w:rFonts w:ascii="Times New Roman" w:cs="Times New Roman" w:eastAsia="Times New Roman" w:hAnsi="Times New Roman"/>
          <w:sz w:val="18"/>
          <w:szCs w:val="18"/>
          <w:color w:val="0000EE"/>
        </w:rPr>
        <w:t xml:space="preserve"> </w:t>
      </w:r>
      <w:hyperlink r:id="rId28">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December 17, 2025 (available </w:t>
      </w:r>
      <w:hyperlink r:id="rId29">
        <w:r>
          <w:rPr>
            <w:rFonts w:ascii="Times New Roman" w:cs="Times New Roman" w:eastAsia="Times New Roman" w:hAnsi="Times New Roman"/>
            <w:sz w:val="18"/>
            <w:szCs w:val="18"/>
            <w:u w:val="single" w:color="auto"/>
            <w:color w:val="0000EE"/>
          </w:rPr>
          <w:t>here</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30">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and January 22, 2026 (available </w:t>
      </w:r>
      <w:hyperlink r:id="rId31">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for Melanie W. Barstad; on October 31, 2025 for Martin Mucci (available </w:t>
      </w:r>
      <w:hyperlink r:id="rId32">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on October 31 , 2025 for Beverly K. Carmichael (available </w:t>
      </w:r>
      <w:hyperlink r:id="rId33">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on October 31, 2025 (available </w:t>
      </w:r>
      <w:hyperlink r:id="rId34">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and December 17, 2025 (available </w:t>
      </w:r>
      <w:hyperlink r:id="rId35">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w:t>
      </w:r>
      <w:hyperlink r:id="rId36">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w:t>
      </w:r>
      <w:hyperlink r:id="rId37">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w:t>
      </w:r>
      <w:hyperlink r:id="rId38">
        <w:r>
          <w:rPr>
            <w:rFonts w:ascii="Times New Roman" w:cs="Times New Roman" w:eastAsia="Times New Roman" w:hAnsi="Times New Roman"/>
            <w:sz w:val="18"/>
            <w:szCs w:val="18"/>
            <w:u w:val="single" w:color="auto"/>
            <w:color w:val="0000EE"/>
          </w:rPr>
          <w:t>here</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39">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for Ronald W. Tysoe; and on December 30, 2025 (available </w:t>
      </w:r>
      <w:hyperlink r:id="rId40">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and January 30, 2026 (available </w:t>
      </w:r>
      <w:hyperlink r:id="rId41">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for Scott D. Farmer. Information about the interests of the directors and executive officers of UniFirst and other persons who may be deemed to be participants in the solicitation of proxies in connection with the Transaction and a description of their direct and indirect interests, by security holdings or otherwise, will be included in the proxy statement/prospectus related to the Transaction, which will be filed with the SEC. Information about the directors and executive officers of UniFirst and their compensation and ownership of UniFirst common stock is set forth under the headings “Executive Compensation,” “Director Compensation - Fiscal 2025” and “Security Ownership of Management, Directors, Director Nominees and Principal Shareholders,” respectively, in UniFirst’s </w:t>
      </w:r>
      <w:hyperlink r:id="rId4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for its 2026 Annual Meeting of Shareholders, filed with the SEC on November 24, </w:t>
      </w:r>
      <w:hyperlink r:id="rId43">
        <w:r>
          <w:rPr>
            <w:rFonts w:ascii="Times New Roman" w:cs="Times New Roman" w:eastAsia="Times New Roman" w:hAnsi="Times New Roman"/>
            <w:sz w:val="18"/>
            <w:szCs w:val="18"/>
            <w:color w:val="000000"/>
          </w:rPr>
          <w:t xml:space="preserve">2025 under the heading “Security Ownership of Certain Beneficial Owners and management and Related Stockholder Matters” in UniFirst’s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000000"/>
        </w:rPr>
        <w:t xml:space="preserve"> </w:t>
      </w:r>
      <w:hyperlink r:id="rId43">
        <w:r>
          <w:rPr>
            <w:rFonts w:ascii="Times New Roman" w:cs="Times New Roman" w:eastAsia="Times New Roman" w:hAnsi="Times New Roman"/>
            <w:sz w:val="18"/>
            <w:szCs w:val="18"/>
            <w:u w:val="single" w:color="auto"/>
            <w:color w:val="0000EE"/>
          </w:rPr>
          <w:t>Report on Form 10- 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fiscal year ended August 30, 2025, filed with the SEC on October 29, 2025; in UniFirst’s</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Current Report on Form 8-K</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filed with the SEC on December 29, 2025; in the supplemental information regarding the participants’ holdings of the UniFirst’s securities can be found in SEC filings on Statements of Change in Ownership on Form 4 filed with the SEC on December 18, 2025 for Sergio A. Pupkin (available </w:t>
      </w:r>
      <w:hyperlink r:id="rId45">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18, 2025 for Kelly C. Rooney (available </w:t>
      </w:r>
      <w:hyperlink r:id="rId46">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18, 2025 for Steven S. Sintros (available </w:t>
      </w:r>
      <w:hyperlink r:id="rId47">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18, 2025 for Cynthia Croatti (available </w:t>
      </w:r>
      <w:hyperlink r:id="rId48">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18, 2025 for Matthew Croatti (available </w:t>
      </w:r>
      <w:hyperlink r:id="rId49">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18, 2025 for Cecilia K. McKenney (available </w:t>
      </w:r>
      <w:hyperlink r:id="rId50">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18, 2025 for Michael landoli (available </w:t>
      </w:r>
      <w:hyperlink r:id="rId51">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18, 2025 for Joseph M. Nowicki (available </w:t>
      </w:r>
      <w:hyperlink r:id="rId52">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18, 2025 and February 18, 2026 for David Martin Katz (available </w:t>
      </w:r>
      <w:hyperlink r:id="rId53">
        <w:r>
          <w:rPr>
            <w:rFonts w:ascii="Times New Roman" w:cs="Times New Roman" w:eastAsia="Times New Roman" w:hAnsi="Times New Roman"/>
            <w:sz w:val="18"/>
            <w:szCs w:val="18"/>
            <w:u w:val="single" w:color="auto"/>
            <w:color w:val="0000EE"/>
          </w:rPr>
          <w:t>here</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54">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respectively); December 18, 2025 for Shane O’Connor (available </w:t>
      </w:r>
      <w:hyperlink r:id="rId55">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December 18, 2025 and February 10, 2026 for William Masters Ross (available </w:t>
      </w:r>
      <w:hyperlink r:id="rId56">
        <w:r>
          <w:rPr>
            <w:rFonts w:ascii="Times New Roman" w:cs="Times New Roman" w:eastAsia="Times New Roman" w:hAnsi="Times New Roman"/>
            <w:sz w:val="18"/>
            <w:szCs w:val="18"/>
            <w:u w:val="single" w:color="auto"/>
            <w:color w:val="0000EE"/>
          </w:rPr>
          <w:t>here</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57">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xml:space="preserve">, respectively); January 7, 2026 for David A. DiFillippo (available </w:t>
      </w:r>
      <w:hyperlink r:id="rId58">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000000"/>
        </w:rPr>
        <w:t>); and in other documents filed by UniFirst with the SEC. Free copies of the documents referenced in this paragraph may be obtained as described above under the heading “Important Information and Where to Find It.”</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ix?doc=/Archives/edgar/data/0000723254/000072325425000017/ctas-20250531.htm" TargetMode="External"/><Relationship Id="rId12" Type="http://schemas.openxmlformats.org/officeDocument/2006/relationships/hyperlink" Target="http://www.sec.gov/ix?doc=/Archives/edgar/data/0000717954/000119312525256222/unf-20250830.htm" TargetMode="External"/><Relationship Id="rId14" Type="http://schemas.openxmlformats.org/officeDocument/2006/relationships/hyperlink" Target="http://www.sec.gov/ix?doc=/Archives/edgar/data/0000723254/000072325425000025/ctas-20250915.htm" TargetMode="External"/><Relationship Id="rId15" Type="http://schemas.openxmlformats.org/officeDocument/2006/relationships/hyperlink" Target="http://www.sec.gov/ix?doc=/Archives/edgar/data/0000723254/000072325425000017/ctas-20250531.htm#ice9aea6cc7c744af9eae65d2bad11d8d_172" TargetMode="External"/><Relationship Id="rId16" Type="http://schemas.openxmlformats.org/officeDocument/2006/relationships/hyperlink" Target="http://www.sec.gov/Archives/edgar/data/723254/000089225125000207/xslF345X05/form4.xml" TargetMode="External"/><Relationship Id="rId17" Type="http://schemas.openxmlformats.org/officeDocument/2006/relationships/hyperlink" Target="http://www.sec.gov/Archives/edgar/data/723254/000095010325016270/xslF345X05/dp238878_4-coletti1.xml" TargetMode="External"/><Relationship Id="rId18" Type="http://schemas.openxmlformats.org/officeDocument/2006/relationships/hyperlink" Target="http://www.sec.gov/Archives/edgar/data/723254/000095010325016271/xslF345X05/dp238879_4-coletti2.xml" TargetMode="External"/><Relationship Id="rId19" Type="http://schemas.openxmlformats.org/officeDocument/2006/relationships/hyperlink" Target="http://www.sec.gov/Archives/edgar/data/723254/000095010325016273/xslF345X05/dp238880_4-coletti3.xml" TargetMode="External"/><Relationship Id="rId20" Type="http://schemas.openxmlformats.org/officeDocument/2006/relationships/hyperlink" Target="http://www.sec.gov/Archives/edgar/data/723254/000089225125000229/xslF345X05/form4.xml" TargetMode="External"/><Relationship Id="rId21" Type="http://schemas.openxmlformats.org/officeDocument/2006/relationships/hyperlink" Target="http://www.sec.gov/Archives/edgar/data/723254/000095010326000864/xslF345X05/dp240324_coletti.xml" TargetMode="External"/><Relationship Id="rId22" Type="http://schemas.openxmlformats.org/officeDocument/2006/relationships/hyperlink" Target="http://www.sec.gov/Archives/edgar/data/723254/000089225126000035/xslF345X05/form4.xml" TargetMode="External"/><Relationship Id="rId23" Type="http://schemas.openxmlformats.org/officeDocument/2006/relationships/hyperlink" Target="http://www.sec.gov/Archives/edgar/data/723254/000089225125000208/xslF345X05/form4.xml" TargetMode="External"/><Relationship Id="rId24" Type="http://schemas.openxmlformats.org/officeDocument/2006/relationships/hyperlink" Target="http://www.sec.gov/Archives/edgar/data/723254/000089225125000206/xslF345X05/form4.xml" TargetMode="External"/><Relationship Id="rId25" Type="http://schemas.openxmlformats.org/officeDocument/2006/relationships/hyperlink" Target="http://www.sec.gov/Archives/edgar/data/723254/000095010325016267/xslF345X05/dp238876_4-carnahan1.xml" TargetMode="External"/><Relationship Id="rId26" Type="http://schemas.openxmlformats.org/officeDocument/2006/relationships/hyperlink" Target="http://www.sec.gov/Archives/edgar/data/723254/000095010325016268/xslF345X05/dp238877_4-carnahan2.xml" TargetMode="External"/><Relationship Id="rId27" Type="http://schemas.openxmlformats.org/officeDocument/2006/relationships/hyperlink" Target="http://www.sec.gov/Archives/edgar/data/723254/000095010326000866/xslF345X05/dp240326_carnahan.xml" TargetMode="External"/><Relationship Id="rId28" Type="http://schemas.openxmlformats.org/officeDocument/2006/relationships/hyperlink" Target="http://www.sec.gov/Archives/edgar/data/723254/000089225125000204/xslF345X05/form4.xml" TargetMode="External"/><Relationship Id="rId29" Type="http://schemas.openxmlformats.org/officeDocument/2006/relationships/hyperlink" Target="http://www.sec.gov/Archives/edgar/data/723254/000095010325016264/xslF345X05/dp238874_4-barstad1.xml" TargetMode="External"/><Relationship Id="rId30" Type="http://schemas.openxmlformats.org/officeDocument/2006/relationships/hyperlink" Target="http://www.sec.gov/Archives/edgar/data/723254/000095010325016266/xslF345X05/dp238875_4-barstad2.xml" TargetMode="External"/><Relationship Id="rId31" Type="http://schemas.openxmlformats.org/officeDocument/2006/relationships/hyperlink" Target="http://www.sec.gov/Archives/edgar/data/723254/000095010326000865/xslF345X05/dp240325_barstad.xml" TargetMode="External"/><Relationship Id="rId32" Type="http://schemas.openxmlformats.org/officeDocument/2006/relationships/hyperlink" Target="http://www.sec.gov/Archives/edgar/data/723254/000089225125000209/xslF345X05/form4.xml" TargetMode="External"/><Relationship Id="rId33" Type="http://schemas.openxmlformats.org/officeDocument/2006/relationships/hyperlink" Target="http://www.sec.gov/Archives/edgar/data/723254/000089225125000205/xslF345X05/form4.xml" TargetMode="External"/><Relationship Id="rId34" Type="http://schemas.openxmlformats.org/officeDocument/2006/relationships/hyperlink" Target="http://www.sec.gov/Archives/edgar/data/723254/000089225125000210/xslF345X05/form4.xml" TargetMode="External"/><Relationship Id="rId35" Type="http://schemas.openxmlformats.org/officeDocument/2006/relationships/hyperlink" Target="http://www.sec.gov/Archives/edgar/data/723254/000095010325016274/xslF345X05/dp238881_4-tysoe1.xml" TargetMode="External"/><Relationship Id="rId36" Type="http://schemas.openxmlformats.org/officeDocument/2006/relationships/hyperlink" Target="http://www.sec.gov/Archives/edgar/data/723254/000095010325016275/xslF345X05/dp238882_4-tysoe2.xml" TargetMode="External"/><Relationship Id="rId37" Type="http://schemas.openxmlformats.org/officeDocument/2006/relationships/hyperlink" Target="http://www.sec.gov/Archives/edgar/data/723254/000095010325016276/xslF345X05/dp238883_4-tysoe3.xml" TargetMode="External"/><Relationship Id="rId38" Type="http://schemas.openxmlformats.org/officeDocument/2006/relationships/hyperlink" Target="http://www.sec.gov/Archives/edgar/data/723254/000095010325016278/xslF345X05/dp238884_4-tysoe4.xml" TargetMode="External"/><Relationship Id="rId39" Type="http://schemas.openxmlformats.org/officeDocument/2006/relationships/hyperlink" Target="http://www.sec.gov/Archives/edgar/data/723254/000095010325016279/xslF345X05/dp238885_4-tysoe5.xml" TargetMode="External"/><Relationship Id="rId40" Type="http://schemas.openxmlformats.org/officeDocument/2006/relationships/hyperlink" Target="http://www.sec.gov/Archives/edgar/data/723254/000089225125000228/xslF345X05/form4.xml" TargetMode="External"/><Relationship Id="rId41" Type="http://schemas.openxmlformats.org/officeDocument/2006/relationships/hyperlink" Target="http://www.sec.gov/Archives/edgar/data/723254/000089225126000034/xslF345X05/form4.xml" TargetMode="External"/><Relationship Id="rId42" Type="http://schemas.openxmlformats.org/officeDocument/2006/relationships/hyperlink" Target="http://www.sec.gov/ix?doc=/Archives/edgar/data/0000717954/000119312525293727/unf-20251124.htm" TargetMode="External"/><Relationship Id="rId43" Type="http://schemas.openxmlformats.org/officeDocument/2006/relationships/hyperlink" Target="http://www.sec.gov/ix?doc=/Archives/edgar/data/0000717954/000119312525256222/unf-20250830.htm#item_12_security_ownership_certain_benef" TargetMode="External"/><Relationship Id="rId44" Type="http://schemas.openxmlformats.org/officeDocument/2006/relationships/hyperlink" Target="http://www.sec.gov/ix?doc=/Archives/edgar/data/0000717954/000119312525335335/unf-20251223.htm" TargetMode="External"/><Relationship Id="rId45" Type="http://schemas.openxmlformats.org/officeDocument/2006/relationships/hyperlink" Target="http://www.sec.gov/Archives/edgar/data/717954/000119312525325400/xslF345X05/ownership.xml" TargetMode="External"/><Relationship Id="rId46" Type="http://schemas.openxmlformats.org/officeDocument/2006/relationships/hyperlink" Target="http://www.sec.gov/Archives/edgar/data/1943720/000119312525325399/0001193125-25-325399-index.html" TargetMode="External"/><Relationship Id="rId47" Type="http://schemas.openxmlformats.org/officeDocument/2006/relationships/hyperlink" Target="http://www.sec.gov/Archives/edgar/data/717954/000119312525325398/xslF345X05/ownership.xml" TargetMode="External"/><Relationship Id="rId48" Type="http://schemas.openxmlformats.org/officeDocument/2006/relationships/hyperlink" Target="http://www.sec.gov/Archives/edgar/data/717954/000119312525325396/xslF345X05/ownership.xml" TargetMode="External"/><Relationship Id="rId49" Type="http://schemas.openxmlformats.org/officeDocument/2006/relationships/hyperlink" Target="http://www.sec.gov/Archives/edgar/data/717954/000119312525325394/xslF345X05/ownership.xml" TargetMode="External"/><Relationship Id="rId50" Type="http://schemas.openxmlformats.org/officeDocument/2006/relationships/hyperlink" Target="http://www.sec.gov/Archives/edgar/data/717954/000119312525325392/xslF345X05/ownership.xml" TargetMode="External"/><Relationship Id="rId51" Type="http://schemas.openxmlformats.org/officeDocument/2006/relationships/hyperlink" Target="http://www.sec.gov/Archives/edgar/data/717954/000119312525325391/xslF345X05/ownership.xml" TargetMode="External"/><Relationship Id="rId52" Type="http://schemas.openxmlformats.org/officeDocument/2006/relationships/hyperlink" Target="http://www.sec.gov/Archives/edgar/data/717954/000119312525325390/xslF345X05/ownership.xml" TargetMode="External"/><Relationship Id="rId53" Type="http://schemas.openxmlformats.org/officeDocument/2006/relationships/hyperlink" Target="http://www.sec.gov/Archives/edgar/data/717954/000119312525325389/xslF345X05/ownership.xml" TargetMode="External"/><Relationship Id="rId54" Type="http://schemas.openxmlformats.org/officeDocument/2006/relationships/hyperlink" Target="http://www.sec.gov/Archives/edgar/data/717954/000119312526056419/xslF345X05/ownership.xml" TargetMode="External"/><Relationship Id="rId55" Type="http://schemas.openxmlformats.org/officeDocument/2006/relationships/hyperlink" Target="http://www.sec.gov/Archives/edgar/data/717954/000119312525325387/xslF345X05/ownership.xml" TargetMode="External"/><Relationship Id="rId56" Type="http://schemas.openxmlformats.org/officeDocument/2006/relationships/hyperlink" Target="http://www.sec.gov/Archives/edgar/data/717954/000119312525325386/xslF345X05/ownership.xml" TargetMode="External"/><Relationship Id="rId57" Type="http://schemas.openxmlformats.org/officeDocument/2006/relationships/hyperlink" Target="http://www.sec.gov/Archives/edgar/data/717954/000119312526044463/xslF345X05/ownership.xml" TargetMode="External"/><Relationship Id="rId58" Type="http://schemas.openxmlformats.org/officeDocument/2006/relationships/hyperlink" Target="http://www.sec.gov/Archives/edgar/data/717954/000119312526006372/xslF345X05/ownership.x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2026-03-11T16:30:07Z</dcterms:created>
  <dcterms:modified xsi:type="dcterms:W3CDTF">2026-03-11T16:30:07Z</dcterms:modified>
</cp:coreProperties>
</file>